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721" w:rsidRPr="00B3436E" w:rsidRDefault="00267721" w:rsidP="00267721">
      <w:pPr>
        <w:jc w:val="center"/>
        <w:rPr>
          <w:rFonts w:ascii="Arial" w:hAnsi="Arial" w:cs="Arial"/>
          <w:b/>
          <w:sz w:val="40"/>
          <w:szCs w:val="40"/>
        </w:rPr>
      </w:pPr>
      <w:r w:rsidRPr="00B3436E">
        <w:rPr>
          <w:rFonts w:ascii="Arial" w:hAnsi="Arial" w:cs="Arial"/>
          <w:b/>
          <w:sz w:val="40"/>
          <w:szCs w:val="40"/>
        </w:rPr>
        <w:t>Significant Crises, Panics, and</w:t>
      </w:r>
      <w:r w:rsidR="00B3436E">
        <w:rPr>
          <w:rFonts w:ascii="Arial" w:hAnsi="Arial" w:cs="Arial"/>
          <w:b/>
          <w:sz w:val="40"/>
          <w:szCs w:val="40"/>
        </w:rPr>
        <w:t xml:space="preserve"> Depressions in U.S. History </w:t>
      </w:r>
    </w:p>
    <w:p w:rsidR="008A3DBC" w:rsidRPr="00B3436E" w:rsidRDefault="008A3DBC" w:rsidP="008A3DBC">
      <w:pPr>
        <w:pBdr>
          <w:bottom w:val="single" w:sz="6" w:space="0" w:color="AAAAAA"/>
        </w:pBdr>
        <w:shd w:val="clear" w:color="auto" w:fill="FFFFFF"/>
        <w:spacing w:before="240" w:after="60" w:line="240" w:lineRule="auto"/>
        <w:outlineLvl w:val="1"/>
        <w:rPr>
          <w:rFonts w:ascii="Arial" w:eastAsia="Times New Roman" w:hAnsi="Arial" w:cs="Arial"/>
          <w:b/>
          <w:lang/>
        </w:rPr>
      </w:pPr>
      <w:r w:rsidRPr="00B3436E">
        <w:rPr>
          <w:rFonts w:ascii="Arial" w:eastAsia="Times New Roman" w:hAnsi="Arial" w:cs="Arial"/>
          <w:b/>
          <w:lang/>
        </w:rPr>
        <w:t>Early recessions and crises</w:t>
      </w:r>
    </w:p>
    <w:p w:rsidR="008A3DBC" w:rsidRPr="00B3436E" w:rsidRDefault="008A3DBC" w:rsidP="008A3DBC">
      <w:pPr>
        <w:shd w:val="clear" w:color="auto" w:fill="FFFFFF"/>
        <w:spacing w:before="120" w:after="120" w:line="240" w:lineRule="auto"/>
        <w:rPr>
          <w:rFonts w:ascii="Arial" w:eastAsia="Times New Roman" w:hAnsi="Arial" w:cs="Arial"/>
          <w:lang/>
        </w:rPr>
      </w:pPr>
      <w:r w:rsidRPr="00B3436E">
        <w:rPr>
          <w:rFonts w:ascii="Arial" w:eastAsia="Times New Roman" w:hAnsi="Arial" w:cs="Arial"/>
          <w:lang/>
        </w:rPr>
        <w:t xml:space="preserve">In 1791, Congress chartered the First Bank of the United States to handle the country's financial needs. The bank had some functions of a modern central bank, although it was responsible for only 20% of the young country's currency. In 1811 the bank's charter lapsed, but it was replaced by the Second Bank of the United States, which lasted from 1816–36. </w:t>
      </w:r>
    </w:p>
    <w:tbl>
      <w:tblPr>
        <w:tblW w:w="15472"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075"/>
        <w:gridCol w:w="1268"/>
        <w:gridCol w:w="12129"/>
      </w:tblGrid>
      <w:tr w:rsidR="008A3DBC" w:rsidRPr="00B3436E" w:rsidTr="008A3DBC">
        <w:trPr>
          <w:tblHeader/>
        </w:trPr>
        <w:tc>
          <w:tcPr>
            <w:tcW w:w="20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Name</w:t>
            </w:r>
          </w:p>
        </w:tc>
        <w:tc>
          <w:tcPr>
            <w:tcW w:w="1186"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8A3DBC" w:rsidRPr="00B3436E" w:rsidRDefault="008A3DBC"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Duration</w:t>
            </w:r>
          </w:p>
        </w:tc>
        <w:tc>
          <w:tcPr>
            <w:tcW w:w="12277"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Characteristics</w:t>
            </w:r>
          </w:p>
        </w:tc>
      </w:tr>
      <w:tr w:rsidR="008A3DBC" w:rsidRPr="00B3436E" w:rsidTr="008A3DB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Panic of 1797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~3 years</w:t>
            </w:r>
          </w:p>
        </w:tc>
        <w:tc>
          <w:tcPr>
            <w:tcW w:w="1227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1C34E3">
            <w:pPr>
              <w:spacing w:before="240" w:after="240" w:line="240" w:lineRule="auto"/>
              <w:rPr>
                <w:rFonts w:ascii="Arial" w:eastAsia="Times New Roman" w:hAnsi="Arial" w:cs="Arial"/>
              </w:rPr>
            </w:pPr>
            <w:r w:rsidRPr="00B3436E">
              <w:rPr>
                <w:rFonts w:ascii="Arial" w:eastAsia="Times New Roman" w:hAnsi="Arial" w:cs="Arial"/>
              </w:rPr>
              <w:t xml:space="preserve">Just as a </w:t>
            </w:r>
            <w:r w:rsidRPr="00B3436E">
              <w:rPr>
                <w:rFonts w:ascii="Arial" w:eastAsia="Times New Roman" w:hAnsi="Arial" w:cs="Arial"/>
                <w:b/>
              </w:rPr>
              <w:t>land speculation bubble</w:t>
            </w:r>
            <w:r w:rsidRPr="00B3436E">
              <w:rPr>
                <w:rFonts w:ascii="Arial" w:eastAsia="Times New Roman" w:hAnsi="Arial" w:cs="Arial"/>
              </w:rPr>
              <w:t xml:space="preserve"> was bursting, deflation from the Bank of England (which was facing insolvency because of the cost of Great Britain's involvement in the French Revolutionary Wars) crossed to North America and disrupted commercial and real estate markets in the United States and the Caribbean, and caused a major financial panic. Prosperity continued in the south, but economic activity was stagnant in the north for three years. </w:t>
            </w:r>
          </w:p>
        </w:tc>
      </w:tr>
      <w:tr w:rsidR="008A3DBC" w:rsidRPr="00B3436E" w:rsidTr="008A3DB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Depression of 1807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~3 years</w:t>
            </w:r>
          </w:p>
        </w:tc>
        <w:tc>
          <w:tcPr>
            <w:tcW w:w="1227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b/>
              </w:rPr>
              <w:t>The Embargo Act of 1807</w:t>
            </w:r>
            <w:r w:rsidRPr="00B3436E">
              <w:rPr>
                <w:rFonts w:ascii="Arial" w:eastAsia="Times New Roman" w:hAnsi="Arial" w:cs="Arial"/>
              </w:rPr>
              <w:t> was passed by the United States Congress under President Thomas Jefferson as tensions increased with the United Kingdom. Along with trade restrictions imposed by the British, shipping-related industries were hard hit. The Federalists fought the embargo and allowed smuggling to take place in New England. Trade volumes, commodity prices and securities prices all began to fall. </w:t>
            </w:r>
            <w:r w:rsidRPr="00B3436E">
              <w:rPr>
                <w:rFonts w:ascii="Arial" w:eastAsia="Times New Roman" w:hAnsi="Arial" w:cs="Arial"/>
                <w:b/>
              </w:rPr>
              <w:t>Macon's Bill Number 2</w:t>
            </w:r>
            <w:r w:rsidRPr="00B3436E">
              <w:rPr>
                <w:rFonts w:ascii="Arial" w:eastAsia="Times New Roman" w:hAnsi="Arial" w:cs="Arial"/>
              </w:rPr>
              <w:t> ended the embargoes in May 1810, and a recovery started.</w:t>
            </w:r>
          </w:p>
        </w:tc>
      </w:tr>
      <w:tr w:rsidR="008A3DBC" w:rsidRPr="00B3436E" w:rsidTr="008A3DB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1815–21 depression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~6 years</w:t>
            </w:r>
          </w:p>
        </w:tc>
        <w:tc>
          <w:tcPr>
            <w:tcW w:w="1227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B3436E">
            <w:pPr>
              <w:spacing w:before="240" w:after="240" w:line="240" w:lineRule="auto"/>
              <w:rPr>
                <w:rFonts w:ascii="Arial" w:eastAsia="Times New Roman" w:hAnsi="Arial" w:cs="Arial"/>
              </w:rPr>
            </w:pPr>
            <w:r w:rsidRPr="00B3436E">
              <w:rPr>
                <w:rFonts w:ascii="Arial" w:eastAsia="Times New Roman" w:hAnsi="Arial" w:cs="Arial"/>
              </w:rPr>
              <w:t xml:space="preserve">Shortly after the </w:t>
            </w:r>
            <w:r w:rsidR="00B3436E" w:rsidRPr="00B3436E">
              <w:rPr>
                <w:rFonts w:ascii="Arial" w:eastAsia="Times New Roman" w:hAnsi="Arial" w:cs="Arial"/>
                <w:b/>
              </w:rPr>
              <w:t>War of 1812</w:t>
            </w:r>
            <w:r w:rsidRPr="00B3436E">
              <w:rPr>
                <w:rFonts w:ascii="Arial" w:eastAsia="Times New Roman" w:hAnsi="Arial" w:cs="Arial"/>
              </w:rPr>
              <w:t xml:space="preserve"> ended on March 23, 1815, the United States entered a period of financial panic as bank notes rapidly depreciated because of inflation following the war. The 1815 panic was followed by several years of mild depression, and then a major financial crisis – the </w:t>
            </w:r>
            <w:r w:rsidRPr="00B3436E">
              <w:rPr>
                <w:rFonts w:ascii="Arial" w:eastAsia="Times New Roman" w:hAnsi="Arial" w:cs="Arial"/>
                <w:b/>
              </w:rPr>
              <w:t>Panic of 1819</w:t>
            </w:r>
            <w:r w:rsidRPr="00B3436E">
              <w:rPr>
                <w:rFonts w:ascii="Arial" w:eastAsia="Times New Roman" w:hAnsi="Arial" w:cs="Arial"/>
              </w:rPr>
              <w:t>, which featured widespread foreclosures, bank failures, unemployment, a collapse in real estate prices, and a slump in agriculture and manufacturing.</w:t>
            </w:r>
          </w:p>
        </w:tc>
      </w:tr>
    </w:tbl>
    <w:p w:rsidR="008A3DBC" w:rsidRPr="00B3436E" w:rsidRDefault="008A3DBC" w:rsidP="008A3DBC">
      <w:pPr>
        <w:pBdr>
          <w:bottom w:val="single" w:sz="6" w:space="0" w:color="AAAAAA"/>
        </w:pBdr>
        <w:shd w:val="clear" w:color="auto" w:fill="FFFFFF"/>
        <w:spacing w:before="240" w:after="60" w:line="240" w:lineRule="auto"/>
        <w:outlineLvl w:val="1"/>
        <w:rPr>
          <w:rFonts w:ascii="Arial" w:eastAsia="Times New Roman" w:hAnsi="Arial" w:cs="Arial"/>
          <w:lang/>
        </w:rPr>
      </w:pPr>
    </w:p>
    <w:p w:rsidR="008A3DBC" w:rsidRPr="00B3436E" w:rsidRDefault="008A3DBC" w:rsidP="008A3DBC">
      <w:pPr>
        <w:pBdr>
          <w:bottom w:val="single" w:sz="6" w:space="0" w:color="AAAAAA"/>
        </w:pBdr>
        <w:shd w:val="clear" w:color="auto" w:fill="FFFFFF"/>
        <w:spacing w:before="240" w:after="60" w:line="240" w:lineRule="auto"/>
        <w:outlineLvl w:val="1"/>
        <w:rPr>
          <w:rFonts w:ascii="Arial" w:eastAsia="Times New Roman" w:hAnsi="Arial" w:cs="Arial"/>
          <w:lang/>
        </w:rPr>
      </w:pPr>
    </w:p>
    <w:p w:rsidR="001C34E3" w:rsidRDefault="001C34E3" w:rsidP="008A3DBC">
      <w:pPr>
        <w:pBdr>
          <w:bottom w:val="single" w:sz="6" w:space="0" w:color="AAAAAA"/>
        </w:pBdr>
        <w:shd w:val="clear" w:color="auto" w:fill="FFFFFF"/>
        <w:spacing w:before="240" w:after="60" w:line="240" w:lineRule="auto"/>
        <w:outlineLvl w:val="1"/>
        <w:rPr>
          <w:rFonts w:ascii="Arial" w:eastAsia="Times New Roman" w:hAnsi="Arial" w:cs="Arial"/>
          <w:lang/>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lang/>
        </w:rPr>
      </w:pPr>
    </w:p>
    <w:p w:rsidR="00B3436E" w:rsidRP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lang/>
        </w:rPr>
      </w:pPr>
    </w:p>
    <w:p w:rsidR="008A3DBC" w:rsidRPr="00B3436E" w:rsidRDefault="008A3DBC" w:rsidP="008A3DBC">
      <w:pPr>
        <w:pBdr>
          <w:bottom w:val="single" w:sz="6" w:space="0" w:color="AAAAAA"/>
        </w:pBdr>
        <w:shd w:val="clear" w:color="auto" w:fill="FFFFFF"/>
        <w:spacing w:before="240" w:after="60" w:line="240" w:lineRule="auto"/>
        <w:outlineLvl w:val="1"/>
        <w:rPr>
          <w:rFonts w:ascii="Arial" w:eastAsia="Times New Roman" w:hAnsi="Arial" w:cs="Arial"/>
          <w:b/>
          <w:lang/>
        </w:rPr>
      </w:pPr>
      <w:r w:rsidRPr="00B3436E">
        <w:rPr>
          <w:rFonts w:ascii="Arial" w:eastAsia="Times New Roman" w:hAnsi="Arial" w:cs="Arial"/>
          <w:b/>
          <w:lang/>
        </w:rPr>
        <w:lastRenderedPageBreak/>
        <w:t>Free Banking Era to the Great Depression</w:t>
      </w:r>
    </w:p>
    <w:p w:rsidR="008A3DBC" w:rsidRPr="00B3436E" w:rsidRDefault="008A3DBC" w:rsidP="008A3DBC">
      <w:pPr>
        <w:shd w:val="clear" w:color="auto" w:fill="FFFFFF"/>
        <w:spacing w:before="120" w:after="120" w:line="240" w:lineRule="auto"/>
        <w:rPr>
          <w:rFonts w:ascii="Arial" w:eastAsia="Times New Roman" w:hAnsi="Arial" w:cs="Arial"/>
          <w:lang/>
        </w:rPr>
      </w:pPr>
      <w:r w:rsidRPr="00B3436E">
        <w:rPr>
          <w:rFonts w:ascii="Arial" w:eastAsia="Times New Roman" w:hAnsi="Arial" w:cs="Arial"/>
          <w:lang/>
        </w:rPr>
        <w:t>In the 1830s, Andrew Jackson fought to end the Second Bank of the United States. Following the Bank War, the Second Bank lost its charter in 1836. From 1837 to 1862, there was no national presence in banking, but still plenty of state and even local regulation, such as laws against branch banking which prevented diversification. In 1863, in response to financing pressures of the Civil War, Congress passed the National Banking Act, creating nationally chartered banks. There was neither a central bank nor deposit insurance during this era, and thus banking panics were common. Recessions often led to bank panics and financial crises, which in turn worsened the recession.</w:t>
      </w:r>
    </w:p>
    <w:tbl>
      <w:tblPr>
        <w:tblW w:w="15472"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452"/>
        <w:gridCol w:w="1435"/>
        <w:gridCol w:w="1431"/>
        <w:gridCol w:w="1444"/>
        <w:gridCol w:w="8710"/>
      </w:tblGrid>
      <w:tr w:rsidR="008A3DBC" w:rsidRPr="00B3436E" w:rsidTr="00B3436E">
        <w:trPr>
          <w:tblHeader/>
        </w:trPr>
        <w:tc>
          <w:tcPr>
            <w:tcW w:w="24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Name</w:t>
            </w:r>
          </w:p>
        </w:tc>
        <w:tc>
          <w:tcPr>
            <w:tcW w:w="143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8A3DBC" w:rsidRPr="00B3436E" w:rsidRDefault="008A3DBC"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Duration</w:t>
            </w:r>
          </w:p>
        </w:tc>
        <w:tc>
          <w:tcPr>
            <w:tcW w:w="1431"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8A3DBC" w:rsidRPr="00B3436E" w:rsidRDefault="008A3DBC"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Business activity</w:t>
            </w:r>
          </w:p>
        </w:tc>
        <w:tc>
          <w:tcPr>
            <w:tcW w:w="1444"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8A3DBC" w:rsidRPr="00B3436E" w:rsidRDefault="008A3DBC"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Trade &amp; industrial activity</w:t>
            </w:r>
          </w:p>
        </w:tc>
        <w:tc>
          <w:tcPr>
            <w:tcW w:w="87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Characteristics</w:t>
            </w:r>
          </w:p>
        </w:tc>
      </w:tr>
      <w:tr w:rsidR="008A3DBC" w:rsidRPr="00B3436E" w:rsidTr="00B3436E">
        <w:tc>
          <w:tcPr>
            <w:tcW w:w="2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267721">
            <w:pPr>
              <w:spacing w:before="240" w:after="240" w:line="240" w:lineRule="auto"/>
              <w:rPr>
                <w:rFonts w:ascii="Arial" w:eastAsia="Times New Roman" w:hAnsi="Arial" w:cs="Arial"/>
                <w:b/>
              </w:rPr>
            </w:pPr>
            <w:r w:rsidRPr="00B3436E">
              <w:rPr>
                <w:rFonts w:ascii="Arial" w:eastAsia="Times New Roman" w:hAnsi="Arial" w:cs="Arial"/>
                <w:b/>
              </w:rPr>
              <w:t>1836–1838 recession</w:t>
            </w:r>
          </w:p>
        </w:tc>
        <w:tc>
          <w:tcPr>
            <w:tcW w:w="14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~2 years</w:t>
            </w:r>
          </w:p>
        </w:tc>
        <w:tc>
          <w:tcPr>
            <w:tcW w:w="14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-32.8%</w:t>
            </w:r>
          </w:p>
        </w:tc>
        <w:tc>
          <w:tcPr>
            <w:tcW w:w="14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w:t>
            </w:r>
          </w:p>
        </w:tc>
        <w:tc>
          <w:tcPr>
            <w:tcW w:w="87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 xml:space="preserve">A sharp downturn in the American economy was caused by </w:t>
            </w:r>
            <w:r w:rsidRPr="00B3436E">
              <w:rPr>
                <w:rFonts w:ascii="Arial" w:eastAsia="Times New Roman" w:hAnsi="Arial" w:cs="Arial"/>
                <w:b/>
              </w:rPr>
              <w:t>bank failures and lack of confidence in the paper currency</w:t>
            </w:r>
            <w:r w:rsidRPr="00B3436E">
              <w:rPr>
                <w:rFonts w:ascii="Arial" w:eastAsia="Times New Roman" w:hAnsi="Arial" w:cs="Arial"/>
              </w:rPr>
              <w:t>. Speculation markets were greatly affected when </w:t>
            </w:r>
            <w:r w:rsidRPr="00B3436E">
              <w:rPr>
                <w:rFonts w:ascii="Arial" w:eastAsia="Times New Roman" w:hAnsi="Arial" w:cs="Arial"/>
                <w:b/>
              </w:rPr>
              <w:t>American banks stopped payment in specie</w:t>
            </w:r>
            <w:r w:rsidRPr="00B3436E">
              <w:rPr>
                <w:rFonts w:ascii="Arial" w:eastAsia="Times New Roman" w:hAnsi="Arial" w:cs="Arial"/>
              </w:rPr>
              <w:t> (gold and silver coinage).</w:t>
            </w:r>
            <w:r w:rsidR="00267721" w:rsidRPr="00B3436E">
              <w:rPr>
                <w:rFonts w:ascii="Arial" w:eastAsia="Times New Roman" w:hAnsi="Arial" w:cs="Arial"/>
                <w:vertAlign w:val="superscript"/>
              </w:rPr>
              <w:t xml:space="preserve"> </w:t>
            </w:r>
            <w:r w:rsidRPr="00B3436E">
              <w:rPr>
                <w:rFonts w:ascii="Arial" w:eastAsia="Times New Roman" w:hAnsi="Arial" w:cs="Arial"/>
              </w:rPr>
              <w:t xml:space="preserve">Over </w:t>
            </w:r>
            <w:r w:rsidRPr="00B3436E">
              <w:rPr>
                <w:rFonts w:ascii="Arial" w:eastAsia="Times New Roman" w:hAnsi="Arial" w:cs="Arial"/>
                <w:b/>
              </w:rPr>
              <w:t>600 banks failed</w:t>
            </w:r>
            <w:r w:rsidRPr="00B3436E">
              <w:rPr>
                <w:rFonts w:ascii="Arial" w:eastAsia="Times New Roman" w:hAnsi="Arial" w:cs="Arial"/>
              </w:rPr>
              <w:t xml:space="preserve"> in this period. In the South, the cotton market completely collapsed.</w:t>
            </w:r>
          </w:p>
        </w:tc>
      </w:tr>
      <w:tr w:rsidR="008A3DBC" w:rsidRPr="00B3436E" w:rsidTr="00B3436E">
        <w:tc>
          <w:tcPr>
            <w:tcW w:w="2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267721">
            <w:pPr>
              <w:spacing w:before="240" w:after="240" w:line="240" w:lineRule="auto"/>
              <w:rPr>
                <w:rFonts w:ascii="Arial" w:eastAsia="Times New Roman" w:hAnsi="Arial" w:cs="Arial"/>
              </w:rPr>
            </w:pPr>
            <w:r w:rsidRPr="00B3436E">
              <w:rPr>
                <w:rFonts w:ascii="Arial" w:eastAsia="Times New Roman" w:hAnsi="Arial" w:cs="Arial"/>
              </w:rPr>
              <w:t>late 1839–late 1843 recession</w:t>
            </w:r>
          </w:p>
        </w:tc>
        <w:tc>
          <w:tcPr>
            <w:tcW w:w="14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~4 years</w:t>
            </w:r>
          </w:p>
        </w:tc>
        <w:tc>
          <w:tcPr>
            <w:tcW w:w="14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-34.3%</w:t>
            </w:r>
          </w:p>
        </w:tc>
        <w:tc>
          <w:tcPr>
            <w:tcW w:w="14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w:t>
            </w:r>
          </w:p>
        </w:tc>
        <w:tc>
          <w:tcPr>
            <w:tcW w:w="87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267721">
            <w:pPr>
              <w:spacing w:before="240" w:after="240" w:line="240" w:lineRule="auto"/>
              <w:rPr>
                <w:rFonts w:ascii="Arial" w:eastAsia="Times New Roman" w:hAnsi="Arial" w:cs="Arial"/>
              </w:rPr>
            </w:pPr>
            <w:r w:rsidRPr="00B3436E">
              <w:rPr>
                <w:rFonts w:ascii="Arial" w:eastAsia="Times New Roman" w:hAnsi="Arial" w:cs="Arial"/>
              </w:rPr>
              <w:t xml:space="preserve">This was </w:t>
            </w:r>
            <w:r w:rsidRPr="00B3436E">
              <w:rPr>
                <w:rFonts w:ascii="Arial" w:eastAsia="Times New Roman" w:hAnsi="Arial" w:cs="Arial"/>
                <w:b/>
              </w:rPr>
              <w:t>one of the longest and deepest depressions</w:t>
            </w:r>
            <w:r w:rsidRPr="00B3436E">
              <w:rPr>
                <w:rFonts w:ascii="Arial" w:eastAsia="Times New Roman" w:hAnsi="Arial" w:cs="Arial"/>
              </w:rPr>
              <w:t>. It was a period of pronounced deflation and massive default on debt. The Cleveland Trust Company Index showed the economy spent 68 months below its trend and only 9 months above it. The Index declined 34.3% during this depression.</w:t>
            </w:r>
          </w:p>
        </w:tc>
      </w:tr>
      <w:tr w:rsidR="008A3DBC" w:rsidRPr="00B3436E" w:rsidTr="00B3436E">
        <w:tc>
          <w:tcPr>
            <w:tcW w:w="2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b/>
              </w:rPr>
            </w:pPr>
            <w:r w:rsidRPr="00B3436E">
              <w:rPr>
                <w:rFonts w:ascii="Arial" w:eastAsia="Times New Roman" w:hAnsi="Arial" w:cs="Arial"/>
                <w:b/>
              </w:rPr>
              <w:t>Panic of 1857</w:t>
            </w:r>
          </w:p>
        </w:tc>
        <w:tc>
          <w:tcPr>
            <w:tcW w:w="14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1 year</w:t>
            </w:r>
            <w:r w:rsidRPr="00B3436E">
              <w:rPr>
                <w:rFonts w:ascii="Arial" w:eastAsia="Times New Roman" w:hAnsi="Arial" w:cs="Arial"/>
              </w:rPr>
              <w:br/>
              <w:t>6 months</w:t>
            </w:r>
          </w:p>
        </w:tc>
        <w:tc>
          <w:tcPr>
            <w:tcW w:w="14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−23.1%</w:t>
            </w:r>
          </w:p>
        </w:tc>
        <w:tc>
          <w:tcPr>
            <w:tcW w:w="14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w:t>
            </w:r>
          </w:p>
        </w:tc>
        <w:tc>
          <w:tcPr>
            <w:tcW w:w="87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1C34E3">
            <w:pPr>
              <w:spacing w:before="240" w:after="240" w:line="240" w:lineRule="auto"/>
              <w:rPr>
                <w:rFonts w:ascii="Arial" w:eastAsia="Times New Roman" w:hAnsi="Arial" w:cs="Arial"/>
              </w:rPr>
            </w:pPr>
            <w:r w:rsidRPr="00B3436E">
              <w:rPr>
                <w:rFonts w:ascii="Arial" w:eastAsia="Times New Roman" w:hAnsi="Arial" w:cs="Arial"/>
              </w:rPr>
              <w:t xml:space="preserve">Failure of the Ohio Life Insurance and Trust Company burst a European speculative bubble in United States' railroads and caused a loss of confidence in American banks. Over 5,000 businesses failed within the first year of the Panic, and unemployment was accompanied by protest meetings in urban areas. </w:t>
            </w:r>
          </w:p>
        </w:tc>
      </w:tr>
      <w:tr w:rsidR="008A3DBC" w:rsidRPr="00B3436E" w:rsidTr="00B3436E">
        <w:tc>
          <w:tcPr>
            <w:tcW w:w="2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1865–67 recession</w:t>
            </w:r>
          </w:p>
        </w:tc>
        <w:tc>
          <w:tcPr>
            <w:tcW w:w="14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2 years</w:t>
            </w:r>
            <w:r w:rsidRPr="00B3436E">
              <w:rPr>
                <w:rFonts w:ascii="Arial" w:eastAsia="Times New Roman" w:hAnsi="Arial" w:cs="Arial"/>
              </w:rPr>
              <w:br/>
              <w:t>8 months</w:t>
            </w:r>
          </w:p>
        </w:tc>
        <w:tc>
          <w:tcPr>
            <w:tcW w:w="14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−23.8%</w:t>
            </w:r>
          </w:p>
        </w:tc>
        <w:tc>
          <w:tcPr>
            <w:tcW w:w="14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w:t>
            </w:r>
          </w:p>
        </w:tc>
        <w:tc>
          <w:tcPr>
            <w:tcW w:w="87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The American Civil War ended in April 1865, and the country entered a lengthy period of general deflation that lasted until 1896. The United States occasionally experienced periods of recession during the Reconstruction era. Production increased in the years following the Civil War, but the country still had financial difficulties. The post-war period coincided with a period of some international financial instability.</w:t>
            </w:r>
          </w:p>
        </w:tc>
      </w:tr>
      <w:tr w:rsidR="008A3DBC" w:rsidRPr="00B3436E" w:rsidTr="00B3436E">
        <w:tc>
          <w:tcPr>
            <w:tcW w:w="2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C34E3" w:rsidRPr="00B3436E" w:rsidRDefault="001C34E3" w:rsidP="008A3DBC">
            <w:pPr>
              <w:spacing w:before="240" w:after="240" w:line="240" w:lineRule="auto"/>
              <w:rPr>
                <w:rFonts w:ascii="Arial" w:eastAsia="Times New Roman" w:hAnsi="Arial" w:cs="Arial"/>
                <w:b/>
              </w:rPr>
            </w:pPr>
            <w:r w:rsidRPr="00B3436E">
              <w:rPr>
                <w:rFonts w:ascii="Arial" w:eastAsia="Times New Roman" w:hAnsi="Arial" w:cs="Arial"/>
                <w:b/>
              </w:rPr>
              <w:lastRenderedPageBreak/>
              <w:t xml:space="preserve">Panic of 1873: </w:t>
            </w:r>
          </w:p>
          <w:p w:rsidR="008A3DBC" w:rsidRPr="00B3436E" w:rsidRDefault="001C34E3" w:rsidP="008A3DBC">
            <w:pPr>
              <w:spacing w:before="240" w:after="240" w:line="240" w:lineRule="auto"/>
              <w:rPr>
                <w:rFonts w:ascii="Arial" w:eastAsia="Times New Roman" w:hAnsi="Arial" w:cs="Arial"/>
                <w:b/>
              </w:rPr>
            </w:pPr>
            <w:r w:rsidRPr="00B3436E">
              <w:rPr>
                <w:rFonts w:ascii="Arial" w:eastAsia="Times New Roman" w:hAnsi="Arial" w:cs="Arial"/>
                <w:b/>
              </w:rPr>
              <w:t xml:space="preserve">The </w:t>
            </w:r>
            <w:r w:rsidR="008A3DBC" w:rsidRPr="00B3436E">
              <w:rPr>
                <w:rFonts w:ascii="Arial" w:eastAsia="Times New Roman" w:hAnsi="Arial" w:cs="Arial"/>
                <w:b/>
              </w:rPr>
              <w:t>Long Depression</w:t>
            </w:r>
          </w:p>
        </w:tc>
        <w:tc>
          <w:tcPr>
            <w:tcW w:w="14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5 years</w:t>
            </w:r>
            <w:r w:rsidRPr="00B3436E">
              <w:rPr>
                <w:rFonts w:ascii="Arial" w:eastAsia="Times New Roman" w:hAnsi="Arial" w:cs="Arial"/>
              </w:rPr>
              <w:br/>
              <w:t>5 months</w:t>
            </w:r>
          </w:p>
        </w:tc>
        <w:tc>
          <w:tcPr>
            <w:tcW w:w="14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267721">
            <w:pPr>
              <w:spacing w:before="240" w:after="240" w:line="240" w:lineRule="auto"/>
              <w:jc w:val="center"/>
              <w:rPr>
                <w:rFonts w:ascii="Arial" w:eastAsia="Times New Roman" w:hAnsi="Arial" w:cs="Arial"/>
              </w:rPr>
            </w:pPr>
            <w:r w:rsidRPr="00B3436E">
              <w:rPr>
                <w:rFonts w:ascii="Arial" w:eastAsia="Times New Roman" w:hAnsi="Arial" w:cs="Arial"/>
              </w:rPr>
              <w:t xml:space="preserve">−33.6% </w:t>
            </w:r>
          </w:p>
        </w:tc>
        <w:tc>
          <w:tcPr>
            <w:tcW w:w="14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w:t>
            </w:r>
          </w:p>
        </w:tc>
        <w:tc>
          <w:tcPr>
            <w:tcW w:w="87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1C34E3">
            <w:pPr>
              <w:spacing w:before="240" w:after="240" w:line="240" w:lineRule="auto"/>
              <w:rPr>
                <w:rFonts w:ascii="Arial" w:eastAsia="Times New Roman" w:hAnsi="Arial" w:cs="Arial"/>
              </w:rPr>
            </w:pPr>
            <w:r w:rsidRPr="00B3436E">
              <w:rPr>
                <w:rFonts w:ascii="Arial" w:eastAsia="Times New Roman" w:hAnsi="Arial" w:cs="Arial"/>
              </w:rPr>
              <w:t xml:space="preserve">Economic problems in Europe prompted the failure of Jay Cooke &amp; Company, the largest bank in the United States, which burst the post-Civil War speculative bubble. </w:t>
            </w:r>
            <w:r w:rsidR="001C34E3" w:rsidRPr="00B3436E">
              <w:rPr>
                <w:rFonts w:ascii="Arial" w:eastAsia="Times New Roman" w:hAnsi="Arial" w:cs="Arial"/>
                <w:b/>
              </w:rPr>
              <w:t>The Coinage</w:t>
            </w:r>
            <w:r w:rsidRPr="00B3436E">
              <w:rPr>
                <w:rFonts w:ascii="Arial" w:eastAsia="Times New Roman" w:hAnsi="Arial" w:cs="Arial"/>
                <w:b/>
              </w:rPr>
              <w:t xml:space="preserve"> Act of 1873</w:t>
            </w:r>
            <w:r w:rsidRPr="00B3436E">
              <w:rPr>
                <w:rFonts w:ascii="Arial" w:eastAsia="Times New Roman" w:hAnsi="Arial" w:cs="Arial"/>
              </w:rPr>
              <w:t> also contributed by immediately depressing the price of silver, which hurt North American mining interests.</w:t>
            </w:r>
            <w:r w:rsidR="00B3436E" w:rsidRPr="00B3436E">
              <w:rPr>
                <w:rFonts w:ascii="Arial" w:eastAsia="Times New Roman" w:hAnsi="Arial" w:cs="Arial"/>
              </w:rPr>
              <w:t xml:space="preserve"> </w:t>
            </w:r>
            <w:r w:rsidRPr="00B3436E">
              <w:rPr>
                <w:rFonts w:ascii="Arial" w:eastAsia="Times New Roman" w:hAnsi="Arial" w:cs="Arial"/>
              </w:rPr>
              <w:t>The deflation and wage cuts of the era led to labor turmoil, such as the </w:t>
            </w:r>
            <w:r w:rsidRPr="00B3436E">
              <w:rPr>
                <w:rFonts w:ascii="Arial" w:eastAsia="Times New Roman" w:hAnsi="Arial" w:cs="Arial"/>
                <w:b/>
              </w:rPr>
              <w:t>Great Railroad Strike of 1877</w:t>
            </w:r>
            <w:r w:rsidRPr="00B3436E">
              <w:rPr>
                <w:rFonts w:ascii="Arial" w:eastAsia="Times New Roman" w:hAnsi="Arial" w:cs="Arial"/>
              </w:rPr>
              <w:t xml:space="preserve">. In 1879, the United States </w:t>
            </w:r>
            <w:r w:rsidRPr="00B3436E">
              <w:rPr>
                <w:rFonts w:ascii="Arial" w:eastAsia="Times New Roman" w:hAnsi="Arial" w:cs="Arial"/>
                <w:b/>
              </w:rPr>
              <w:t>returned to the gold standard</w:t>
            </w:r>
            <w:r w:rsidRPr="00B3436E">
              <w:rPr>
                <w:rFonts w:ascii="Arial" w:eastAsia="Times New Roman" w:hAnsi="Arial" w:cs="Arial"/>
              </w:rPr>
              <w:t xml:space="preserve"> with the Specie Payment Resumption Act. This is the longest period of economic contraction recognized by the NBER. </w:t>
            </w:r>
            <w:r w:rsidR="001C34E3" w:rsidRPr="00B3436E">
              <w:rPr>
                <w:rFonts w:ascii="Arial" w:eastAsia="Times New Roman" w:hAnsi="Arial" w:cs="Arial"/>
              </w:rPr>
              <w:t>The Long</w:t>
            </w:r>
            <w:r w:rsidRPr="00B3436E">
              <w:rPr>
                <w:rFonts w:ascii="Arial" w:eastAsia="Times New Roman" w:hAnsi="Arial" w:cs="Arial"/>
              </w:rPr>
              <w:t xml:space="preserve"> Depression is sometimes held to be the entire period from 1873–96</w:t>
            </w:r>
          </w:p>
        </w:tc>
      </w:tr>
      <w:tr w:rsidR="008A3DBC" w:rsidRPr="00B3436E" w:rsidTr="00B3436E">
        <w:tc>
          <w:tcPr>
            <w:tcW w:w="2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b/>
              </w:rPr>
            </w:pPr>
            <w:r w:rsidRPr="00B3436E">
              <w:rPr>
                <w:rFonts w:ascii="Arial" w:eastAsia="Times New Roman" w:hAnsi="Arial" w:cs="Arial"/>
                <w:b/>
              </w:rPr>
              <w:t>Panic of 1893</w:t>
            </w:r>
          </w:p>
        </w:tc>
        <w:tc>
          <w:tcPr>
            <w:tcW w:w="14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1 year</w:t>
            </w:r>
            <w:r w:rsidRPr="00B3436E">
              <w:rPr>
                <w:rFonts w:ascii="Arial" w:eastAsia="Times New Roman" w:hAnsi="Arial" w:cs="Arial"/>
              </w:rPr>
              <w:br/>
              <w:t>5 months</w:t>
            </w:r>
          </w:p>
        </w:tc>
        <w:tc>
          <w:tcPr>
            <w:tcW w:w="14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−37.3%</w:t>
            </w:r>
          </w:p>
        </w:tc>
        <w:tc>
          <w:tcPr>
            <w:tcW w:w="14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−29.7%</w:t>
            </w:r>
          </w:p>
        </w:tc>
        <w:tc>
          <w:tcPr>
            <w:tcW w:w="87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 xml:space="preserve">Failure of the United States Reading Railroad and withdrawal of European investment led to a stock market and banking collapse. This Panic was also precipitated in part </w:t>
            </w:r>
            <w:r w:rsidRPr="00B3436E">
              <w:rPr>
                <w:rFonts w:ascii="Arial" w:eastAsia="Times New Roman" w:hAnsi="Arial" w:cs="Arial"/>
                <w:b/>
              </w:rPr>
              <w:t>by a run on the gold supply</w:t>
            </w:r>
            <w:r w:rsidRPr="00B3436E">
              <w:rPr>
                <w:rFonts w:ascii="Arial" w:eastAsia="Times New Roman" w:hAnsi="Arial" w:cs="Arial"/>
              </w:rPr>
              <w:t xml:space="preserve">. The Treasury had to issue bonds to purchase enough gold. Profits, investment and income all fell, </w:t>
            </w:r>
            <w:r w:rsidRPr="00B3436E">
              <w:rPr>
                <w:rFonts w:ascii="Arial" w:eastAsia="Times New Roman" w:hAnsi="Arial" w:cs="Arial"/>
                <w:b/>
              </w:rPr>
              <w:t>leading to political instability, the height of the U.S. populist movement</w:t>
            </w:r>
            <w:r w:rsidR="00267721" w:rsidRPr="00B3436E">
              <w:rPr>
                <w:rFonts w:ascii="Arial" w:eastAsia="Times New Roman" w:hAnsi="Arial" w:cs="Arial"/>
                <w:b/>
              </w:rPr>
              <w:t xml:space="preserve"> </w:t>
            </w:r>
            <w:r w:rsidRPr="00B3436E">
              <w:rPr>
                <w:rFonts w:ascii="Arial" w:eastAsia="Times New Roman" w:hAnsi="Arial" w:cs="Arial"/>
                <w:b/>
              </w:rPr>
              <w:t>and the Free Silver movement.</w:t>
            </w:r>
          </w:p>
        </w:tc>
      </w:tr>
      <w:tr w:rsidR="008A3DBC" w:rsidRPr="00B3436E" w:rsidTr="00B3436E">
        <w:tc>
          <w:tcPr>
            <w:tcW w:w="2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Panic of 1907</w:t>
            </w:r>
          </w:p>
        </w:tc>
        <w:tc>
          <w:tcPr>
            <w:tcW w:w="14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1 year</w:t>
            </w:r>
            <w:r w:rsidRPr="00B3436E">
              <w:rPr>
                <w:rFonts w:ascii="Arial" w:eastAsia="Times New Roman" w:hAnsi="Arial" w:cs="Arial"/>
              </w:rPr>
              <w:br/>
              <w:t>1 month</w:t>
            </w:r>
          </w:p>
        </w:tc>
        <w:tc>
          <w:tcPr>
            <w:tcW w:w="14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−29.2%</w:t>
            </w:r>
          </w:p>
        </w:tc>
        <w:tc>
          <w:tcPr>
            <w:tcW w:w="14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−31.0%</w:t>
            </w:r>
          </w:p>
        </w:tc>
        <w:tc>
          <w:tcPr>
            <w:tcW w:w="87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A run on Knickerbocker Trust</w:t>
            </w:r>
            <w:r w:rsidR="001C34E3" w:rsidRPr="00B3436E">
              <w:rPr>
                <w:rFonts w:ascii="Arial" w:eastAsia="Times New Roman" w:hAnsi="Arial" w:cs="Arial"/>
              </w:rPr>
              <w:t xml:space="preserve"> Company deposits in</w:t>
            </w:r>
            <w:r w:rsidRPr="00B3436E">
              <w:rPr>
                <w:rFonts w:ascii="Arial" w:eastAsia="Times New Roman" w:hAnsi="Arial" w:cs="Arial"/>
              </w:rPr>
              <w:t xml:space="preserve"> 1907, set events in motion that would lead to a severe monetary contraction. The fallout from the panic </w:t>
            </w:r>
            <w:r w:rsidRPr="00B3436E">
              <w:rPr>
                <w:rFonts w:ascii="Arial" w:eastAsia="Times New Roman" w:hAnsi="Arial" w:cs="Arial"/>
                <w:b/>
              </w:rPr>
              <w:t>led to Congress crea</w:t>
            </w:r>
            <w:r w:rsidR="001C34E3" w:rsidRPr="00B3436E">
              <w:rPr>
                <w:rFonts w:ascii="Arial" w:eastAsia="Times New Roman" w:hAnsi="Arial" w:cs="Arial"/>
                <w:b/>
              </w:rPr>
              <w:t>ting the Federal Reserve System</w:t>
            </w:r>
          </w:p>
        </w:tc>
      </w:tr>
      <w:tr w:rsidR="008A3DBC" w:rsidRPr="00B3436E" w:rsidTr="00B3436E">
        <w:tc>
          <w:tcPr>
            <w:tcW w:w="2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Recession of 1913–1914</w:t>
            </w:r>
          </w:p>
        </w:tc>
        <w:tc>
          <w:tcPr>
            <w:tcW w:w="14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1 year</w:t>
            </w:r>
            <w:r w:rsidRPr="00B3436E">
              <w:rPr>
                <w:rFonts w:ascii="Arial" w:eastAsia="Times New Roman" w:hAnsi="Arial" w:cs="Arial"/>
              </w:rPr>
              <w:br/>
              <w:t>11 months</w:t>
            </w:r>
          </w:p>
        </w:tc>
        <w:tc>
          <w:tcPr>
            <w:tcW w:w="14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−25.9%</w:t>
            </w:r>
          </w:p>
        </w:tc>
        <w:tc>
          <w:tcPr>
            <w:tcW w:w="14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−19.8%</w:t>
            </w:r>
          </w:p>
        </w:tc>
        <w:tc>
          <w:tcPr>
            <w:tcW w:w="87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1C34E3">
            <w:pPr>
              <w:spacing w:before="240" w:after="240" w:line="240" w:lineRule="auto"/>
              <w:rPr>
                <w:rFonts w:ascii="Arial" w:eastAsia="Times New Roman" w:hAnsi="Arial" w:cs="Arial"/>
              </w:rPr>
            </w:pPr>
            <w:r w:rsidRPr="00B3436E">
              <w:rPr>
                <w:rFonts w:ascii="Arial" w:eastAsia="Times New Roman" w:hAnsi="Arial" w:cs="Arial"/>
              </w:rPr>
              <w:t>Productions and real income declined during this period and were not offset until the start of World War I increased demand.</w:t>
            </w:r>
          </w:p>
        </w:tc>
      </w:tr>
      <w:tr w:rsidR="008A3DBC" w:rsidRPr="00B3436E" w:rsidTr="00B3436E">
        <w:tc>
          <w:tcPr>
            <w:tcW w:w="2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Post-World War I recession</w:t>
            </w:r>
          </w:p>
        </w:tc>
        <w:tc>
          <w:tcPr>
            <w:tcW w:w="14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7 months</w:t>
            </w:r>
          </w:p>
        </w:tc>
        <w:tc>
          <w:tcPr>
            <w:tcW w:w="14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−24.5%</w:t>
            </w:r>
          </w:p>
        </w:tc>
        <w:tc>
          <w:tcPr>
            <w:tcW w:w="14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−14.1%</w:t>
            </w:r>
          </w:p>
        </w:tc>
        <w:tc>
          <w:tcPr>
            <w:tcW w:w="87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1C34E3">
            <w:pPr>
              <w:spacing w:before="240" w:after="240" w:line="240" w:lineRule="auto"/>
              <w:rPr>
                <w:rFonts w:ascii="Arial" w:eastAsia="Times New Roman" w:hAnsi="Arial" w:cs="Arial"/>
              </w:rPr>
            </w:pPr>
            <w:r w:rsidRPr="00B3436E">
              <w:rPr>
                <w:rFonts w:ascii="Arial" w:eastAsia="Times New Roman" w:hAnsi="Arial" w:cs="Arial"/>
              </w:rPr>
              <w:t>Severe hyperinflation in Europe took place over production in North America. This was a brief but very sharp recession and was caused by the end of wartime production, along with an influx of labor from returning troops. This, in turn, caused high unemployment</w:t>
            </w:r>
            <w:r w:rsidR="001C34E3" w:rsidRPr="00B3436E">
              <w:rPr>
                <w:rFonts w:ascii="Arial" w:eastAsia="Times New Roman" w:hAnsi="Arial" w:cs="Arial"/>
              </w:rPr>
              <w:t>.</w:t>
            </w:r>
          </w:p>
        </w:tc>
      </w:tr>
      <w:tr w:rsidR="008A3DBC" w:rsidRPr="00B3436E" w:rsidTr="00B3436E">
        <w:tc>
          <w:tcPr>
            <w:tcW w:w="2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b/>
              </w:rPr>
            </w:pPr>
            <w:r w:rsidRPr="00B3436E">
              <w:rPr>
                <w:rFonts w:ascii="Arial" w:eastAsia="Times New Roman" w:hAnsi="Arial" w:cs="Arial"/>
                <w:b/>
              </w:rPr>
              <w:lastRenderedPageBreak/>
              <w:t>Depression of 1920–21</w:t>
            </w:r>
          </w:p>
        </w:tc>
        <w:tc>
          <w:tcPr>
            <w:tcW w:w="14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1 year</w:t>
            </w:r>
            <w:r w:rsidRPr="00B3436E">
              <w:rPr>
                <w:rFonts w:ascii="Arial" w:eastAsia="Times New Roman" w:hAnsi="Arial" w:cs="Arial"/>
              </w:rPr>
              <w:br/>
              <w:t>6 months</w:t>
            </w:r>
          </w:p>
        </w:tc>
        <w:tc>
          <w:tcPr>
            <w:tcW w:w="14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−38.1%</w:t>
            </w:r>
          </w:p>
        </w:tc>
        <w:tc>
          <w:tcPr>
            <w:tcW w:w="14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−32.7%</w:t>
            </w:r>
          </w:p>
        </w:tc>
        <w:tc>
          <w:tcPr>
            <w:tcW w:w="87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The 1921 recession began a mere 10 months after the post-World War I recession, as the economy continued working through the shift to a peacetime economy. The recession was</w:t>
            </w:r>
            <w:r w:rsidRPr="00B3436E">
              <w:rPr>
                <w:rFonts w:ascii="Arial" w:eastAsia="Times New Roman" w:hAnsi="Arial" w:cs="Arial"/>
                <w:b/>
              </w:rPr>
              <w:t xml:space="preserve"> short, but extremely painful</w:t>
            </w:r>
            <w:r w:rsidRPr="00B3436E">
              <w:rPr>
                <w:rFonts w:ascii="Arial" w:eastAsia="Times New Roman" w:hAnsi="Arial" w:cs="Arial"/>
              </w:rPr>
              <w:t xml:space="preserve">. The year 1920 was the </w:t>
            </w:r>
            <w:r w:rsidRPr="00B3436E">
              <w:rPr>
                <w:rFonts w:ascii="Arial" w:eastAsia="Times New Roman" w:hAnsi="Arial" w:cs="Arial"/>
                <w:b/>
              </w:rPr>
              <w:t>single most deflationary year in American history</w:t>
            </w:r>
            <w:r w:rsidRPr="00B3436E">
              <w:rPr>
                <w:rFonts w:ascii="Arial" w:eastAsia="Times New Roman" w:hAnsi="Arial" w:cs="Arial"/>
              </w:rPr>
              <w:t xml:space="preserve">; production, however, did not fall as much as might be expected from the deflation. GNP may have declined between 2.5 and 7 percent, even as wholesale prices declined by 36.8%. The economy had a </w:t>
            </w:r>
            <w:r w:rsidRPr="00B3436E">
              <w:rPr>
                <w:rFonts w:ascii="Arial" w:eastAsia="Times New Roman" w:hAnsi="Arial" w:cs="Arial"/>
                <w:b/>
              </w:rPr>
              <w:t>strong r</w:t>
            </w:r>
            <w:r w:rsidR="001C34E3" w:rsidRPr="00B3436E">
              <w:rPr>
                <w:rFonts w:ascii="Arial" w:eastAsia="Times New Roman" w:hAnsi="Arial" w:cs="Arial"/>
                <w:b/>
              </w:rPr>
              <w:t>ecovery</w:t>
            </w:r>
            <w:r w:rsidR="001C34E3" w:rsidRPr="00B3436E">
              <w:rPr>
                <w:rFonts w:ascii="Arial" w:eastAsia="Times New Roman" w:hAnsi="Arial" w:cs="Arial"/>
              </w:rPr>
              <w:t xml:space="preserve"> following the recession</w:t>
            </w:r>
          </w:p>
        </w:tc>
      </w:tr>
    </w:tbl>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rPr>
      </w:pPr>
    </w:p>
    <w:p w:rsidR="00B3436E" w:rsidRP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rPr>
      </w:pPr>
    </w:p>
    <w:p w:rsidR="008A3DBC" w:rsidRPr="00B3436E" w:rsidRDefault="008A3DBC" w:rsidP="008A3DBC">
      <w:pPr>
        <w:pBdr>
          <w:bottom w:val="single" w:sz="6" w:space="0" w:color="AAAAAA"/>
        </w:pBdr>
        <w:shd w:val="clear" w:color="auto" w:fill="FFFFFF"/>
        <w:spacing w:before="240" w:after="60" w:line="240" w:lineRule="auto"/>
        <w:outlineLvl w:val="1"/>
        <w:rPr>
          <w:rFonts w:ascii="Arial" w:eastAsia="Times New Roman" w:hAnsi="Arial" w:cs="Arial"/>
          <w:b/>
          <w:lang/>
        </w:rPr>
      </w:pPr>
      <w:r w:rsidRPr="00B3436E">
        <w:rPr>
          <w:rFonts w:ascii="Arial" w:eastAsia="Times New Roman" w:hAnsi="Arial" w:cs="Arial"/>
          <w:b/>
          <w:lang/>
        </w:rPr>
        <w:lastRenderedPageBreak/>
        <w:t>Great Depression onward</w:t>
      </w:r>
    </w:p>
    <w:p w:rsidR="008A3DBC" w:rsidRPr="00B3436E" w:rsidRDefault="008A3DBC" w:rsidP="008A3DBC">
      <w:pPr>
        <w:shd w:val="clear" w:color="auto" w:fill="F9F9F9"/>
        <w:spacing w:after="0" w:line="240" w:lineRule="auto"/>
        <w:jc w:val="center"/>
        <w:rPr>
          <w:rFonts w:ascii="Arial" w:eastAsia="Times New Roman" w:hAnsi="Arial" w:cs="Arial"/>
          <w:lang/>
        </w:rPr>
      </w:pPr>
    </w:p>
    <w:p w:rsidR="008A3DBC" w:rsidRPr="00B3436E" w:rsidRDefault="008A3DBC" w:rsidP="008A3DBC">
      <w:pPr>
        <w:shd w:val="clear" w:color="auto" w:fill="FFFFFF"/>
        <w:spacing w:before="120" w:after="120" w:line="240" w:lineRule="auto"/>
        <w:rPr>
          <w:rFonts w:ascii="Arial" w:eastAsia="Times New Roman" w:hAnsi="Arial" w:cs="Arial"/>
          <w:lang/>
        </w:rPr>
      </w:pPr>
      <w:r w:rsidRPr="00B3436E">
        <w:rPr>
          <w:rFonts w:ascii="Arial" w:eastAsia="Times New Roman" w:hAnsi="Arial" w:cs="Arial"/>
          <w:lang/>
        </w:rPr>
        <w:t>Following the end of World War II and the large adjustment as the economy adjusted from wartime to peacetime in 1945, the collection of many economic indicators, such as unemployment and GDP, became standardized. Recessions after World War II may be compared to each other much more easily than previous recessions be</w:t>
      </w:r>
      <w:r w:rsidR="00B3436E">
        <w:rPr>
          <w:rFonts w:ascii="Arial" w:eastAsia="Times New Roman" w:hAnsi="Arial" w:cs="Arial"/>
          <w:lang/>
        </w:rPr>
        <w:t xml:space="preserve">cause of these available data. </w:t>
      </w:r>
    </w:p>
    <w:tbl>
      <w:tblPr>
        <w:tblW w:w="15202"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705"/>
        <w:gridCol w:w="1390"/>
        <w:gridCol w:w="1650"/>
        <w:gridCol w:w="1203"/>
        <w:gridCol w:w="8254"/>
      </w:tblGrid>
      <w:tr w:rsidR="00267721" w:rsidRPr="00B3436E" w:rsidTr="00B3436E">
        <w:trPr>
          <w:tblHeader/>
        </w:trPr>
        <w:tc>
          <w:tcPr>
            <w:tcW w:w="270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Name</w:t>
            </w:r>
          </w:p>
        </w:tc>
        <w:tc>
          <w:tcPr>
            <w:tcW w:w="139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267721" w:rsidRPr="00B3436E" w:rsidRDefault="00267721"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Duration (months)</w:t>
            </w:r>
          </w:p>
        </w:tc>
        <w:tc>
          <w:tcPr>
            <w:tcW w:w="16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267721" w:rsidRPr="00B3436E" w:rsidRDefault="00267721"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Peak unemploy</w:t>
            </w:r>
            <w:r w:rsidRPr="00B3436E">
              <w:rPr>
                <w:rFonts w:ascii="Arial" w:eastAsia="Times New Roman" w:hAnsi="Arial" w:cs="Arial"/>
                <w:b/>
                <w:bCs/>
              </w:rPr>
              <w:softHyphen/>
              <w:t>ment</w:t>
            </w:r>
          </w:p>
        </w:tc>
        <w:tc>
          <w:tcPr>
            <w:tcW w:w="1203"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267721" w:rsidRPr="00B3436E" w:rsidRDefault="00267721"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GDP decline (peak to trough)</w:t>
            </w:r>
          </w:p>
        </w:tc>
        <w:tc>
          <w:tcPr>
            <w:tcW w:w="8254"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Characteristics</w:t>
            </w:r>
          </w:p>
        </w:tc>
      </w:tr>
      <w:tr w:rsidR="00267721" w:rsidRPr="00B3436E" w:rsidTr="00B3436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rPr>
                <w:rFonts w:ascii="Arial" w:eastAsia="Times New Roman" w:hAnsi="Arial" w:cs="Arial"/>
                <w:b/>
              </w:rPr>
            </w:pPr>
            <w:r w:rsidRPr="00B3436E">
              <w:rPr>
                <w:rFonts w:ascii="Arial" w:eastAsia="Times New Roman" w:hAnsi="Arial" w:cs="Arial"/>
                <w:b/>
              </w:rPr>
              <w:t>Great Depression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3 years</w:t>
            </w:r>
            <w:r w:rsidRPr="00B3436E">
              <w:rPr>
                <w:rFonts w:ascii="Arial" w:eastAsia="Times New Roman" w:hAnsi="Arial" w:cs="Arial"/>
              </w:rPr>
              <w:br/>
              <w:t>7 months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267721">
            <w:pPr>
              <w:spacing w:before="240" w:after="240" w:line="240" w:lineRule="auto"/>
              <w:jc w:val="center"/>
              <w:rPr>
                <w:rFonts w:ascii="Arial" w:eastAsia="Times New Roman" w:hAnsi="Arial" w:cs="Arial"/>
              </w:rPr>
            </w:pPr>
            <w:r w:rsidRPr="00B3436E">
              <w:rPr>
                <w:rFonts w:ascii="Arial" w:eastAsia="Times New Roman" w:hAnsi="Arial" w:cs="Arial"/>
              </w:rPr>
              <w:t>24.9%</w:t>
            </w:r>
            <w:r w:rsidRPr="00B3436E">
              <w:rPr>
                <w:rFonts w:ascii="Arial" w:eastAsia="Times New Roman" w:hAnsi="Arial" w:cs="Arial"/>
              </w:rPr>
              <w:br/>
              <w:t>(1933)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−26.7%</w:t>
            </w:r>
          </w:p>
        </w:tc>
        <w:tc>
          <w:tcPr>
            <w:tcW w:w="82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rPr>
                <w:rFonts w:ascii="Arial" w:eastAsia="Times New Roman" w:hAnsi="Arial" w:cs="Arial"/>
              </w:rPr>
            </w:pPr>
            <w:r w:rsidRPr="00B3436E">
              <w:rPr>
                <w:rFonts w:ascii="Arial" w:eastAsia="Times New Roman" w:hAnsi="Arial" w:cs="Arial"/>
              </w:rPr>
              <w:t>Stock markets crashed worldwide. A banking collapse took place in the United States. Extensive new tariffs and other factors contributed to an extremely deep depression. The United States did remain in a depression until World War II. In 1936, unemployment fell to 16.9%, but later returned to 19% in 1938 (near 1933 levels).</w:t>
            </w:r>
          </w:p>
        </w:tc>
      </w:tr>
      <w:tr w:rsidR="00267721" w:rsidRPr="00B3436E" w:rsidTr="00B3436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rPr>
                <w:rFonts w:ascii="Arial" w:eastAsia="Times New Roman" w:hAnsi="Arial" w:cs="Arial"/>
                <w:b/>
              </w:rPr>
            </w:pPr>
            <w:r w:rsidRPr="00B3436E">
              <w:rPr>
                <w:rFonts w:ascii="Arial" w:eastAsia="Times New Roman" w:hAnsi="Arial" w:cs="Arial"/>
                <w:b/>
              </w:rPr>
              <w:t>Recession of 1937–1938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1 year</w:t>
            </w:r>
            <w:r w:rsidRPr="00B3436E">
              <w:rPr>
                <w:rFonts w:ascii="Arial" w:eastAsia="Times New Roman" w:hAnsi="Arial" w:cs="Arial"/>
              </w:rPr>
              <w:br/>
              <w:t>1 month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19.0%</w:t>
            </w:r>
            <w:r w:rsidRPr="00B3436E">
              <w:rPr>
                <w:rFonts w:ascii="Arial" w:eastAsia="Times New Roman" w:hAnsi="Arial" w:cs="Arial"/>
              </w:rPr>
              <w:br/>
              <w:t>(1938)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−18.2%</w:t>
            </w:r>
          </w:p>
        </w:tc>
        <w:tc>
          <w:tcPr>
            <w:tcW w:w="82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rPr>
                <w:rFonts w:ascii="Arial" w:eastAsia="Times New Roman" w:hAnsi="Arial" w:cs="Arial"/>
              </w:rPr>
            </w:pPr>
            <w:r w:rsidRPr="00B3436E">
              <w:rPr>
                <w:rFonts w:ascii="Arial" w:eastAsia="Times New Roman" w:hAnsi="Arial" w:cs="Arial"/>
              </w:rPr>
              <w:t xml:space="preserve">The Recession of 1937 is only considered minor when compared to the Great Depression, but is otherwise </w:t>
            </w:r>
            <w:r w:rsidRPr="00B3436E">
              <w:rPr>
                <w:rFonts w:ascii="Arial" w:eastAsia="Times New Roman" w:hAnsi="Arial" w:cs="Arial"/>
                <w:b/>
              </w:rPr>
              <w:t>among the worst recessions of the 20th century.</w:t>
            </w:r>
            <w:r w:rsidRPr="00B3436E">
              <w:rPr>
                <w:rFonts w:ascii="Arial" w:eastAsia="Times New Roman" w:hAnsi="Arial" w:cs="Arial"/>
              </w:rPr>
              <w:t xml:space="preserve"> Three explanations are offered for the recession: that tight fiscal policy from an attempt to balance the budget after the expansion of the New Deal caused recession, that tight monetary policy from the Federal Reserve caused the recession, or that declining profits for businesses led to a reduction in investment.</w:t>
            </w:r>
          </w:p>
        </w:tc>
      </w:tr>
      <w:tr w:rsidR="00267721" w:rsidRPr="00B3436E" w:rsidTr="00B3436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rPr>
                <w:rFonts w:ascii="Arial" w:eastAsia="Times New Roman" w:hAnsi="Arial" w:cs="Arial"/>
              </w:rPr>
            </w:pPr>
            <w:r w:rsidRPr="00B3436E">
              <w:rPr>
                <w:rFonts w:ascii="Arial" w:eastAsia="Times New Roman" w:hAnsi="Arial" w:cs="Arial"/>
              </w:rPr>
              <w:t>Recession of 1958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8 months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7.5%</w:t>
            </w:r>
            <w:r w:rsidRPr="00B3436E">
              <w:rPr>
                <w:rFonts w:ascii="Arial" w:eastAsia="Times New Roman" w:hAnsi="Arial" w:cs="Arial"/>
              </w:rPr>
              <w:br/>
              <w:t>(July 1958)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−3.7%</w:t>
            </w:r>
          </w:p>
        </w:tc>
        <w:tc>
          <w:tcPr>
            <w:tcW w:w="82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Default="00267721" w:rsidP="008A3DBC">
            <w:pPr>
              <w:spacing w:before="240" w:after="240" w:line="240" w:lineRule="auto"/>
              <w:rPr>
                <w:rFonts w:ascii="Arial" w:eastAsia="Times New Roman" w:hAnsi="Arial" w:cs="Arial"/>
              </w:rPr>
            </w:pPr>
            <w:r w:rsidRPr="00B3436E">
              <w:rPr>
                <w:rFonts w:ascii="Arial" w:eastAsia="Times New Roman" w:hAnsi="Arial" w:cs="Arial"/>
              </w:rPr>
              <w:t>Monetary policy was tightened during the two years preceding 1957, followed by an easing of policy at the end of 1957. The budget balance resulted in a change in</w:t>
            </w:r>
            <w:r w:rsidR="001C34E3" w:rsidRPr="00B3436E">
              <w:rPr>
                <w:rFonts w:ascii="Arial" w:eastAsia="Times New Roman" w:hAnsi="Arial" w:cs="Arial"/>
              </w:rPr>
              <w:t xml:space="preserve"> </w:t>
            </w:r>
            <w:r w:rsidRPr="00B3436E">
              <w:rPr>
                <w:rFonts w:ascii="Arial" w:eastAsia="Times New Roman" w:hAnsi="Arial" w:cs="Arial"/>
              </w:rPr>
              <w:t>budget surplus of 0.8% of GDP in 1957 to a budget deficit of 0.6% of GDP in 1958, and then to 2.6% of GDP in 1959.</w:t>
            </w:r>
          </w:p>
          <w:p w:rsidR="00B3436E" w:rsidRDefault="00B3436E" w:rsidP="008A3DBC">
            <w:pPr>
              <w:spacing w:before="240" w:after="240" w:line="240" w:lineRule="auto"/>
              <w:rPr>
                <w:rFonts w:ascii="Arial" w:eastAsia="Times New Roman" w:hAnsi="Arial" w:cs="Arial"/>
              </w:rPr>
            </w:pPr>
          </w:p>
          <w:p w:rsidR="0015033A" w:rsidRPr="00B3436E" w:rsidRDefault="0015033A" w:rsidP="008A3DBC">
            <w:pPr>
              <w:spacing w:before="240" w:after="240" w:line="240" w:lineRule="auto"/>
              <w:rPr>
                <w:rFonts w:ascii="Arial" w:eastAsia="Times New Roman" w:hAnsi="Arial" w:cs="Arial"/>
              </w:rPr>
            </w:pPr>
            <w:bookmarkStart w:id="0" w:name="_GoBack"/>
            <w:bookmarkEnd w:id="0"/>
          </w:p>
        </w:tc>
      </w:tr>
      <w:tr w:rsidR="00267721" w:rsidRPr="00B3436E" w:rsidTr="00B3436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rPr>
                <w:rFonts w:ascii="Arial" w:eastAsia="Times New Roman" w:hAnsi="Arial" w:cs="Arial"/>
              </w:rPr>
            </w:pPr>
            <w:r w:rsidRPr="00B3436E">
              <w:rPr>
                <w:rFonts w:ascii="Arial" w:eastAsia="Times New Roman" w:hAnsi="Arial" w:cs="Arial"/>
              </w:rPr>
              <w:lastRenderedPageBreak/>
              <w:t>Recession of 1960–61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10 months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7.1%</w:t>
            </w:r>
            <w:r w:rsidRPr="00B3436E">
              <w:rPr>
                <w:rFonts w:ascii="Arial" w:eastAsia="Times New Roman" w:hAnsi="Arial" w:cs="Arial"/>
              </w:rPr>
              <w:br/>
              <w:t>(May 1961)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−1.6%</w:t>
            </w:r>
          </w:p>
        </w:tc>
        <w:tc>
          <w:tcPr>
            <w:tcW w:w="82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rPr>
                <w:rFonts w:ascii="Arial" w:eastAsia="Times New Roman" w:hAnsi="Arial" w:cs="Arial"/>
              </w:rPr>
            </w:pPr>
            <w:r w:rsidRPr="00B3436E">
              <w:rPr>
                <w:rFonts w:ascii="Arial" w:eastAsia="Times New Roman" w:hAnsi="Arial" w:cs="Arial"/>
              </w:rPr>
              <w:t>Another primarily monetary recession occurred after the Federal Reserve began raising interest rates in 1959. The government switched from deficit (or 2.6% in 1959) to surplus (of 0.1% in 1960). When the economy emerged from this short recession, it began the second-longest period of growth in NBER history. The Dow Jones Industrial Average (Dow) finally reached its lowest point on Feb. 20, 1961, about 4 weeks after President Kennedy was inaugurated.</w:t>
            </w:r>
          </w:p>
        </w:tc>
      </w:tr>
      <w:tr w:rsidR="00267721" w:rsidRPr="00B3436E" w:rsidTr="00B3436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rPr>
                <w:rFonts w:ascii="Arial" w:eastAsia="Times New Roman" w:hAnsi="Arial" w:cs="Arial"/>
                <w:b/>
              </w:rPr>
            </w:pPr>
            <w:r w:rsidRPr="00B3436E">
              <w:rPr>
                <w:rFonts w:ascii="Arial" w:eastAsia="Times New Roman" w:hAnsi="Arial" w:cs="Arial"/>
                <w:b/>
              </w:rPr>
              <w:t>1973–75 recession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1 year</w:t>
            </w:r>
            <w:r w:rsidRPr="00B3436E">
              <w:rPr>
                <w:rFonts w:ascii="Arial" w:eastAsia="Times New Roman" w:hAnsi="Arial" w:cs="Arial"/>
              </w:rPr>
              <w:br/>
              <w:t>4 months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9.0%</w:t>
            </w:r>
            <w:r w:rsidRPr="00B3436E">
              <w:rPr>
                <w:rFonts w:ascii="Arial" w:eastAsia="Times New Roman" w:hAnsi="Arial" w:cs="Arial"/>
              </w:rPr>
              <w:br/>
              <w:t>(May 1975)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−3.2%</w:t>
            </w:r>
          </w:p>
        </w:tc>
        <w:tc>
          <w:tcPr>
            <w:tcW w:w="82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rPr>
                <w:rFonts w:ascii="Arial" w:eastAsia="Times New Roman" w:hAnsi="Arial" w:cs="Arial"/>
              </w:rPr>
            </w:pPr>
            <w:r w:rsidRPr="00B3436E">
              <w:rPr>
                <w:rFonts w:ascii="Arial" w:eastAsia="Times New Roman" w:hAnsi="Arial" w:cs="Arial"/>
              </w:rPr>
              <w:t xml:space="preserve">A </w:t>
            </w:r>
            <w:r w:rsidRPr="00B3436E">
              <w:rPr>
                <w:rFonts w:ascii="Arial" w:eastAsia="Times New Roman" w:hAnsi="Arial" w:cs="Arial"/>
                <w:b/>
              </w:rPr>
              <w:t>quadrupling of oil prices by OPEC</w:t>
            </w:r>
            <w:r w:rsidRPr="00B3436E">
              <w:rPr>
                <w:rFonts w:ascii="Arial" w:eastAsia="Times New Roman" w:hAnsi="Arial" w:cs="Arial"/>
              </w:rPr>
              <w:t xml:space="preserve"> coupled with high government spending because of the </w:t>
            </w:r>
            <w:r w:rsidRPr="00B3436E">
              <w:rPr>
                <w:rFonts w:ascii="Arial" w:eastAsia="Times New Roman" w:hAnsi="Arial" w:cs="Arial"/>
                <w:b/>
              </w:rPr>
              <w:t>Vietnam War</w:t>
            </w:r>
            <w:r w:rsidRPr="00B3436E">
              <w:rPr>
                <w:rFonts w:ascii="Arial" w:eastAsia="Times New Roman" w:hAnsi="Arial" w:cs="Arial"/>
              </w:rPr>
              <w:t xml:space="preserve"> led to stagflation in the United States. The period was also marked by the 1973 oil crisis and the 1973–1974 stock market crash. The period is remarkable for rising unemployment coinciding with rising inflation.</w:t>
            </w:r>
          </w:p>
        </w:tc>
      </w:tr>
      <w:tr w:rsidR="00267721" w:rsidRPr="00B3436E" w:rsidTr="00B3436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rPr>
                <w:rFonts w:ascii="Arial" w:eastAsia="Times New Roman" w:hAnsi="Arial" w:cs="Arial"/>
              </w:rPr>
            </w:pPr>
            <w:r w:rsidRPr="00B3436E">
              <w:rPr>
                <w:rFonts w:ascii="Arial" w:eastAsia="Times New Roman" w:hAnsi="Arial" w:cs="Arial"/>
              </w:rPr>
              <w:t>Early 1980s recession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1 year</w:t>
            </w:r>
            <w:r w:rsidRPr="00B3436E">
              <w:rPr>
                <w:rFonts w:ascii="Arial" w:eastAsia="Times New Roman" w:hAnsi="Arial" w:cs="Arial"/>
              </w:rPr>
              <w:br/>
              <w:t>4 months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10.8%</w:t>
            </w:r>
            <w:r w:rsidRPr="00B3436E">
              <w:rPr>
                <w:rFonts w:ascii="Arial" w:eastAsia="Times New Roman" w:hAnsi="Arial" w:cs="Arial"/>
              </w:rPr>
              <w:br/>
              <w:t>(Nov 1982)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−2.7%</w:t>
            </w:r>
          </w:p>
        </w:tc>
        <w:tc>
          <w:tcPr>
            <w:tcW w:w="82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B3436E">
            <w:pPr>
              <w:spacing w:before="240" w:after="240" w:line="240" w:lineRule="auto"/>
              <w:rPr>
                <w:rFonts w:ascii="Arial" w:eastAsia="Times New Roman" w:hAnsi="Arial" w:cs="Arial"/>
              </w:rPr>
            </w:pPr>
            <w:r w:rsidRPr="00B3436E">
              <w:rPr>
                <w:rFonts w:ascii="Arial" w:eastAsia="Times New Roman" w:hAnsi="Arial" w:cs="Arial"/>
              </w:rPr>
              <w:t>The </w:t>
            </w:r>
            <w:r w:rsidRPr="00B3436E">
              <w:rPr>
                <w:rFonts w:ascii="Arial" w:eastAsia="Times New Roman" w:hAnsi="Arial" w:cs="Arial"/>
                <w:b/>
              </w:rPr>
              <w:t>Iranian Revolution</w:t>
            </w:r>
            <w:r w:rsidRPr="00B3436E">
              <w:rPr>
                <w:rFonts w:ascii="Arial" w:eastAsia="Times New Roman" w:hAnsi="Arial" w:cs="Arial"/>
              </w:rPr>
              <w:t xml:space="preserve"> sharply increased the price of oil around the world in 1979, causing the 1979 </w:t>
            </w:r>
            <w:r w:rsidRPr="00B3436E">
              <w:rPr>
                <w:rFonts w:ascii="Arial" w:eastAsia="Times New Roman" w:hAnsi="Arial" w:cs="Arial"/>
                <w:b/>
              </w:rPr>
              <w:t>energy crisis</w:t>
            </w:r>
            <w:r w:rsidRPr="00B3436E">
              <w:rPr>
                <w:rFonts w:ascii="Arial" w:eastAsia="Times New Roman" w:hAnsi="Arial" w:cs="Arial"/>
              </w:rPr>
              <w:t>. This was caused by the new regime in power in</w:t>
            </w:r>
            <w:r w:rsidR="001C34E3" w:rsidRPr="00B3436E">
              <w:rPr>
                <w:rFonts w:ascii="Arial" w:eastAsia="Times New Roman" w:hAnsi="Arial" w:cs="Arial"/>
              </w:rPr>
              <w:t xml:space="preserve"> </w:t>
            </w:r>
            <w:r w:rsidRPr="00B3436E">
              <w:rPr>
                <w:rFonts w:ascii="Arial" w:eastAsia="Times New Roman" w:hAnsi="Arial" w:cs="Arial"/>
              </w:rPr>
              <w:t xml:space="preserve">Iran, which exported oil at inconsistent intervals and at a lower volume, forcing prices up. </w:t>
            </w:r>
            <w:r w:rsidRPr="00B3436E">
              <w:rPr>
                <w:rFonts w:ascii="Arial" w:eastAsia="Times New Roman" w:hAnsi="Arial" w:cs="Arial"/>
                <w:b/>
              </w:rPr>
              <w:t>Tight monetary policy</w:t>
            </w:r>
            <w:r w:rsidRPr="00B3436E">
              <w:rPr>
                <w:rFonts w:ascii="Arial" w:eastAsia="Times New Roman" w:hAnsi="Arial" w:cs="Arial"/>
              </w:rPr>
              <w:t> in the United States to control inflation led to another recession. The changes were made largely because of inflation carried over from the previous decade because of the 1973 oil crisis and the 1979 energy crisis.</w:t>
            </w:r>
          </w:p>
        </w:tc>
      </w:tr>
    </w:tbl>
    <w:p w:rsidR="001C34E3" w:rsidRPr="00B3436E" w:rsidRDefault="001C34E3">
      <w:pPr>
        <w:rPr>
          <w:rFonts w:ascii="Arial" w:hAnsi="Arial" w:cs="Arial"/>
        </w:rPr>
      </w:pPr>
    </w:p>
    <w:sectPr w:rsidR="001C34E3" w:rsidRPr="00B3436E" w:rsidSect="008A3DBC">
      <w:pgSz w:w="16839" w:h="11907" w:orient="landscape"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AB2"/>
    <w:multiLevelType w:val="multilevel"/>
    <w:tmpl w:val="6C16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C238A"/>
    <w:multiLevelType w:val="multilevel"/>
    <w:tmpl w:val="48E4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56275"/>
    <w:multiLevelType w:val="multilevel"/>
    <w:tmpl w:val="F90C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80437"/>
    <w:multiLevelType w:val="multilevel"/>
    <w:tmpl w:val="B0D8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446B6"/>
    <w:multiLevelType w:val="multilevel"/>
    <w:tmpl w:val="0900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54E31"/>
    <w:multiLevelType w:val="multilevel"/>
    <w:tmpl w:val="DF02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21C54"/>
    <w:multiLevelType w:val="multilevel"/>
    <w:tmpl w:val="EDA8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DA56A2"/>
    <w:multiLevelType w:val="multilevel"/>
    <w:tmpl w:val="749E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0F4E08"/>
    <w:multiLevelType w:val="multilevel"/>
    <w:tmpl w:val="B70E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921FB0"/>
    <w:multiLevelType w:val="multilevel"/>
    <w:tmpl w:val="C7A4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FE74FA"/>
    <w:multiLevelType w:val="multilevel"/>
    <w:tmpl w:val="E0AA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151B25"/>
    <w:multiLevelType w:val="multilevel"/>
    <w:tmpl w:val="4472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1E1FA1"/>
    <w:multiLevelType w:val="multilevel"/>
    <w:tmpl w:val="4B9A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845AEC"/>
    <w:multiLevelType w:val="multilevel"/>
    <w:tmpl w:val="D368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E4264A"/>
    <w:multiLevelType w:val="multilevel"/>
    <w:tmpl w:val="4BD0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CD117C"/>
    <w:multiLevelType w:val="multilevel"/>
    <w:tmpl w:val="CD6E85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7"/>
  </w:num>
  <w:num w:numId="4">
    <w:abstractNumId w:val="10"/>
  </w:num>
  <w:num w:numId="5">
    <w:abstractNumId w:val="15"/>
  </w:num>
  <w:num w:numId="6">
    <w:abstractNumId w:val="11"/>
  </w:num>
  <w:num w:numId="7">
    <w:abstractNumId w:val="13"/>
  </w:num>
  <w:num w:numId="8">
    <w:abstractNumId w:val="9"/>
  </w:num>
  <w:num w:numId="9">
    <w:abstractNumId w:val="4"/>
  </w:num>
  <w:num w:numId="10">
    <w:abstractNumId w:val="1"/>
  </w:num>
  <w:num w:numId="11">
    <w:abstractNumId w:val="6"/>
  </w:num>
  <w:num w:numId="12">
    <w:abstractNumId w:val="0"/>
  </w:num>
  <w:num w:numId="13">
    <w:abstractNumId w:val="3"/>
  </w:num>
  <w:num w:numId="14">
    <w:abstractNumId w:val="5"/>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8A3DBC"/>
    <w:rsid w:val="00001A08"/>
    <w:rsid w:val="0015033A"/>
    <w:rsid w:val="00197C36"/>
    <w:rsid w:val="001C34E3"/>
    <w:rsid w:val="00267721"/>
    <w:rsid w:val="006633E2"/>
    <w:rsid w:val="00726CC0"/>
    <w:rsid w:val="008A3DBC"/>
    <w:rsid w:val="00B34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08"/>
  </w:style>
  <w:style w:type="paragraph" w:styleId="Heading1">
    <w:name w:val="heading 1"/>
    <w:basedOn w:val="Normal"/>
    <w:link w:val="Heading1Char"/>
    <w:uiPriority w:val="9"/>
    <w:qFormat/>
    <w:rsid w:val="008A3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3D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3D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D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3D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3DB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A3DBC"/>
    <w:rPr>
      <w:color w:val="0000FF"/>
      <w:u w:val="single"/>
    </w:rPr>
  </w:style>
  <w:style w:type="character" w:styleId="FollowedHyperlink">
    <w:name w:val="FollowedHyperlink"/>
    <w:basedOn w:val="DefaultParagraphFont"/>
    <w:uiPriority w:val="99"/>
    <w:semiHidden/>
    <w:unhideWhenUsed/>
    <w:rsid w:val="008A3DBC"/>
    <w:rPr>
      <w:color w:val="800080"/>
      <w:u w:val="single"/>
    </w:rPr>
  </w:style>
  <w:style w:type="character" w:customStyle="1" w:styleId="plainlinks">
    <w:name w:val="plainlinks"/>
    <w:basedOn w:val="DefaultParagraphFont"/>
    <w:rsid w:val="008A3DBC"/>
  </w:style>
  <w:style w:type="character" w:customStyle="1" w:styleId="apple-converted-space">
    <w:name w:val="apple-converted-space"/>
    <w:basedOn w:val="DefaultParagraphFont"/>
    <w:rsid w:val="008A3DBC"/>
  </w:style>
  <w:style w:type="paragraph" w:styleId="NormalWeb">
    <w:name w:val="Normal (Web)"/>
    <w:basedOn w:val="Normal"/>
    <w:uiPriority w:val="99"/>
    <w:semiHidden/>
    <w:unhideWhenUsed/>
    <w:rsid w:val="008A3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8A3DBC"/>
  </w:style>
  <w:style w:type="character" w:customStyle="1" w:styleId="tocnumber">
    <w:name w:val="tocnumber"/>
    <w:basedOn w:val="DefaultParagraphFont"/>
    <w:rsid w:val="008A3DBC"/>
  </w:style>
  <w:style w:type="character" w:customStyle="1" w:styleId="toctext">
    <w:name w:val="toctext"/>
    <w:basedOn w:val="DefaultParagraphFont"/>
    <w:rsid w:val="008A3DBC"/>
  </w:style>
  <w:style w:type="character" w:customStyle="1" w:styleId="mw-headline">
    <w:name w:val="mw-headline"/>
    <w:basedOn w:val="DefaultParagraphFont"/>
    <w:rsid w:val="008A3DBC"/>
  </w:style>
  <w:style w:type="character" w:customStyle="1" w:styleId="mw-editsection">
    <w:name w:val="mw-editsection"/>
    <w:basedOn w:val="DefaultParagraphFont"/>
    <w:rsid w:val="008A3DBC"/>
  </w:style>
  <w:style w:type="character" w:customStyle="1" w:styleId="mw-editsection-bracket">
    <w:name w:val="mw-editsection-bracket"/>
    <w:basedOn w:val="DefaultParagraphFont"/>
    <w:rsid w:val="008A3DBC"/>
  </w:style>
  <w:style w:type="character" w:customStyle="1" w:styleId="mw-cite-backlink">
    <w:name w:val="mw-cite-backlink"/>
    <w:basedOn w:val="DefaultParagraphFont"/>
    <w:rsid w:val="008A3DBC"/>
  </w:style>
  <w:style w:type="character" w:customStyle="1" w:styleId="cite-accessibility-label">
    <w:name w:val="cite-accessibility-label"/>
    <w:basedOn w:val="DefaultParagraphFont"/>
    <w:rsid w:val="008A3DBC"/>
  </w:style>
  <w:style w:type="character" w:customStyle="1" w:styleId="reference-text">
    <w:name w:val="reference-text"/>
    <w:basedOn w:val="DefaultParagraphFont"/>
    <w:rsid w:val="008A3DBC"/>
  </w:style>
  <w:style w:type="character" w:customStyle="1" w:styleId="citation">
    <w:name w:val="citation"/>
    <w:basedOn w:val="DefaultParagraphFont"/>
    <w:rsid w:val="008A3DBC"/>
  </w:style>
  <w:style w:type="character" w:customStyle="1" w:styleId="z3988">
    <w:name w:val="z3988"/>
    <w:basedOn w:val="DefaultParagraphFont"/>
    <w:rsid w:val="008A3DBC"/>
  </w:style>
  <w:style w:type="character" w:customStyle="1" w:styleId="reference-accessdate">
    <w:name w:val="reference-accessdate"/>
    <w:basedOn w:val="DefaultParagraphFont"/>
    <w:rsid w:val="008A3DBC"/>
  </w:style>
  <w:style w:type="paragraph" w:styleId="z-TopofForm">
    <w:name w:val="HTML Top of Form"/>
    <w:basedOn w:val="Normal"/>
    <w:next w:val="Normal"/>
    <w:link w:val="z-TopofFormChar"/>
    <w:hidden/>
    <w:uiPriority w:val="99"/>
    <w:semiHidden/>
    <w:unhideWhenUsed/>
    <w:rsid w:val="008A3D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3DB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3D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3DBC"/>
    <w:rPr>
      <w:rFonts w:ascii="Arial" w:eastAsia="Times New Roman" w:hAnsi="Arial" w:cs="Arial"/>
      <w:vanish/>
      <w:sz w:val="16"/>
      <w:szCs w:val="16"/>
    </w:rPr>
  </w:style>
  <w:style w:type="character" w:customStyle="1" w:styleId="uls-settings-trigger">
    <w:name w:val="uls-settings-trigger"/>
    <w:basedOn w:val="DefaultParagraphFont"/>
    <w:rsid w:val="008A3DBC"/>
  </w:style>
  <w:style w:type="character" w:customStyle="1" w:styleId="wb-langlinks-edit">
    <w:name w:val="wb-langlinks-edit"/>
    <w:basedOn w:val="DefaultParagraphFont"/>
    <w:rsid w:val="008A3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3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3D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3D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D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3D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3DB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A3DBC"/>
    <w:rPr>
      <w:color w:val="0000FF"/>
      <w:u w:val="single"/>
    </w:rPr>
  </w:style>
  <w:style w:type="character" w:styleId="FollowedHyperlink">
    <w:name w:val="FollowedHyperlink"/>
    <w:basedOn w:val="DefaultParagraphFont"/>
    <w:uiPriority w:val="99"/>
    <w:semiHidden/>
    <w:unhideWhenUsed/>
    <w:rsid w:val="008A3DBC"/>
    <w:rPr>
      <w:color w:val="800080"/>
      <w:u w:val="single"/>
    </w:rPr>
  </w:style>
  <w:style w:type="character" w:customStyle="1" w:styleId="plainlinks">
    <w:name w:val="plainlinks"/>
    <w:basedOn w:val="DefaultParagraphFont"/>
    <w:rsid w:val="008A3DBC"/>
  </w:style>
  <w:style w:type="character" w:customStyle="1" w:styleId="apple-converted-space">
    <w:name w:val="apple-converted-space"/>
    <w:basedOn w:val="DefaultParagraphFont"/>
    <w:rsid w:val="008A3DBC"/>
  </w:style>
  <w:style w:type="paragraph" w:styleId="NormalWeb">
    <w:name w:val="Normal (Web)"/>
    <w:basedOn w:val="Normal"/>
    <w:uiPriority w:val="99"/>
    <w:semiHidden/>
    <w:unhideWhenUsed/>
    <w:rsid w:val="008A3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8A3DBC"/>
  </w:style>
  <w:style w:type="character" w:customStyle="1" w:styleId="tocnumber">
    <w:name w:val="tocnumber"/>
    <w:basedOn w:val="DefaultParagraphFont"/>
    <w:rsid w:val="008A3DBC"/>
  </w:style>
  <w:style w:type="character" w:customStyle="1" w:styleId="toctext">
    <w:name w:val="toctext"/>
    <w:basedOn w:val="DefaultParagraphFont"/>
    <w:rsid w:val="008A3DBC"/>
  </w:style>
  <w:style w:type="character" w:customStyle="1" w:styleId="mw-headline">
    <w:name w:val="mw-headline"/>
    <w:basedOn w:val="DefaultParagraphFont"/>
    <w:rsid w:val="008A3DBC"/>
  </w:style>
  <w:style w:type="character" w:customStyle="1" w:styleId="mw-editsection">
    <w:name w:val="mw-editsection"/>
    <w:basedOn w:val="DefaultParagraphFont"/>
    <w:rsid w:val="008A3DBC"/>
  </w:style>
  <w:style w:type="character" w:customStyle="1" w:styleId="mw-editsection-bracket">
    <w:name w:val="mw-editsection-bracket"/>
    <w:basedOn w:val="DefaultParagraphFont"/>
    <w:rsid w:val="008A3DBC"/>
  </w:style>
  <w:style w:type="character" w:customStyle="1" w:styleId="mw-cite-backlink">
    <w:name w:val="mw-cite-backlink"/>
    <w:basedOn w:val="DefaultParagraphFont"/>
    <w:rsid w:val="008A3DBC"/>
  </w:style>
  <w:style w:type="character" w:customStyle="1" w:styleId="cite-accessibility-label">
    <w:name w:val="cite-accessibility-label"/>
    <w:basedOn w:val="DefaultParagraphFont"/>
    <w:rsid w:val="008A3DBC"/>
  </w:style>
  <w:style w:type="character" w:customStyle="1" w:styleId="reference-text">
    <w:name w:val="reference-text"/>
    <w:basedOn w:val="DefaultParagraphFont"/>
    <w:rsid w:val="008A3DBC"/>
  </w:style>
  <w:style w:type="character" w:customStyle="1" w:styleId="citation">
    <w:name w:val="citation"/>
    <w:basedOn w:val="DefaultParagraphFont"/>
    <w:rsid w:val="008A3DBC"/>
  </w:style>
  <w:style w:type="character" w:customStyle="1" w:styleId="z3988">
    <w:name w:val="z3988"/>
    <w:basedOn w:val="DefaultParagraphFont"/>
    <w:rsid w:val="008A3DBC"/>
  </w:style>
  <w:style w:type="character" w:customStyle="1" w:styleId="reference-accessdate">
    <w:name w:val="reference-accessdate"/>
    <w:basedOn w:val="DefaultParagraphFont"/>
    <w:rsid w:val="008A3DBC"/>
  </w:style>
  <w:style w:type="paragraph" w:styleId="z-TopofForm">
    <w:name w:val="HTML Top of Form"/>
    <w:basedOn w:val="Normal"/>
    <w:next w:val="Normal"/>
    <w:link w:val="z-TopofFormChar"/>
    <w:hidden/>
    <w:uiPriority w:val="99"/>
    <w:semiHidden/>
    <w:unhideWhenUsed/>
    <w:rsid w:val="008A3D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3DB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3D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3DBC"/>
    <w:rPr>
      <w:rFonts w:ascii="Arial" w:eastAsia="Times New Roman" w:hAnsi="Arial" w:cs="Arial"/>
      <w:vanish/>
      <w:sz w:val="16"/>
      <w:szCs w:val="16"/>
    </w:rPr>
  </w:style>
  <w:style w:type="character" w:customStyle="1" w:styleId="uls-settings-trigger">
    <w:name w:val="uls-settings-trigger"/>
    <w:basedOn w:val="DefaultParagraphFont"/>
    <w:rsid w:val="008A3DBC"/>
  </w:style>
  <w:style w:type="character" w:customStyle="1" w:styleId="wb-langlinks-edit">
    <w:name w:val="wb-langlinks-edit"/>
    <w:basedOn w:val="DefaultParagraphFont"/>
    <w:rsid w:val="008A3DBC"/>
  </w:style>
</w:styles>
</file>

<file path=word/webSettings.xml><?xml version="1.0" encoding="utf-8"?>
<w:webSettings xmlns:r="http://schemas.openxmlformats.org/officeDocument/2006/relationships" xmlns:w="http://schemas.openxmlformats.org/wordprocessingml/2006/main">
  <w:divs>
    <w:div w:id="114105856">
      <w:bodyDiv w:val="1"/>
      <w:marLeft w:val="0"/>
      <w:marRight w:val="0"/>
      <w:marTop w:val="0"/>
      <w:marBottom w:val="0"/>
      <w:divBdr>
        <w:top w:val="none" w:sz="0" w:space="0" w:color="auto"/>
        <w:left w:val="none" w:sz="0" w:space="0" w:color="auto"/>
        <w:bottom w:val="none" w:sz="0" w:space="0" w:color="auto"/>
        <w:right w:val="none" w:sz="0" w:space="0" w:color="auto"/>
      </w:divBdr>
      <w:divsChild>
        <w:div w:id="152722007">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403873493">
              <w:marLeft w:val="0"/>
              <w:marRight w:val="0"/>
              <w:marTop w:val="0"/>
              <w:marBottom w:val="0"/>
              <w:divBdr>
                <w:top w:val="none" w:sz="0" w:space="0" w:color="auto"/>
                <w:left w:val="none" w:sz="0" w:space="0" w:color="auto"/>
                <w:bottom w:val="none" w:sz="0" w:space="0" w:color="auto"/>
                <w:right w:val="none" w:sz="0" w:space="0" w:color="auto"/>
              </w:divBdr>
              <w:divsChild>
                <w:div w:id="1704553952">
                  <w:marLeft w:val="0"/>
                  <w:marRight w:val="0"/>
                  <w:marTop w:val="0"/>
                  <w:marBottom w:val="240"/>
                  <w:divBdr>
                    <w:top w:val="single" w:sz="6" w:space="3" w:color="339966"/>
                    <w:left w:val="single" w:sz="6" w:space="3" w:color="339966"/>
                    <w:bottom w:val="single" w:sz="6" w:space="3" w:color="339966"/>
                    <w:right w:val="single" w:sz="6" w:space="3" w:color="339966"/>
                  </w:divBdr>
                  <w:divsChild>
                    <w:div w:id="856776787">
                      <w:marLeft w:val="0"/>
                      <w:marRight w:val="0"/>
                      <w:marTop w:val="0"/>
                      <w:marBottom w:val="0"/>
                      <w:divBdr>
                        <w:top w:val="none" w:sz="0" w:space="0" w:color="auto"/>
                        <w:left w:val="none" w:sz="0" w:space="0" w:color="auto"/>
                        <w:bottom w:val="none" w:sz="0" w:space="0" w:color="auto"/>
                        <w:right w:val="none" w:sz="0" w:space="0" w:color="auto"/>
                      </w:divBdr>
                    </w:div>
                    <w:div w:id="1590196141">
                      <w:marLeft w:val="0"/>
                      <w:marRight w:val="0"/>
                      <w:marTop w:val="195"/>
                      <w:marBottom w:val="0"/>
                      <w:divBdr>
                        <w:top w:val="none" w:sz="0" w:space="0" w:color="auto"/>
                        <w:left w:val="none" w:sz="0" w:space="0" w:color="auto"/>
                        <w:bottom w:val="none" w:sz="0" w:space="0" w:color="auto"/>
                        <w:right w:val="none" w:sz="0" w:space="0" w:color="auto"/>
                      </w:divBdr>
                      <w:divsChild>
                        <w:div w:id="1682314284">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819617328">
              <w:marLeft w:val="0"/>
              <w:marRight w:val="0"/>
              <w:marTop w:val="0"/>
              <w:marBottom w:val="0"/>
              <w:divBdr>
                <w:top w:val="none" w:sz="0" w:space="0" w:color="auto"/>
                <w:left w:val="none" w:sz="0" w:space="0" w:color="auto"/>
                <w:bottom w:val="none" w:sz="0" w:space="0" w:color="auto"/>
                <w:right w:val="none" w:sz="0" w:space="0" w:color="auto"/>
              </w:divBdr>
              <w:divsChild>
                <w:div w:id="1445155440">
                  <w:marLeft w:val="0"/>
                  <w:marRight w:val="0"/>
                  <w:marTop w:val="0"/>
                  <w:marBottom w:val="0"/>
                  <w:divBdr>
                    <w:top w:val="none" w:sz="0" w:space="0" w:color="auto"/>
                    <w:left w:val="none" w:sz="0" w:space="0" w:color="auto"/>
                    <w:bottom w:val="none" w:sz="0" w:space="0" w:color="auto"/>
                    <w:right w:val="none" w:sz="0" w:space="0" w:color="auto"/>
                  </w:divBdr>
                </w:div>
                <w:div w:id="1630209801">
                  <w:marLeft w:val="0"/>
                  <w:marRight w:val="0"/>
                  <w:marTop w:val="0"/>
                  <w:marBottom w:val="0"/>
                  <w:divBdr>
                    <w:top w:val="none" w:sz="0" w:space="0" w:color="auto"/>
                    <w:left w:val="none" w:sz="0" w:space="0" w:color="auto"/>
                    <w:bottom w:val="none" w:sz="0" w:space="0" w:color="auto"/>
                    <w:right w:val="none" w:sz="0" w:space="0" w:color="auto"/>
                  </w:divBdr>
                  <w:divsChild>
                    <w:div w:id="230701607">
                      <w:marLeft w:val="336"/>
                      <w:marRight w:val="0"/>
                      <w:marTop w:val="120"/>
                      <w:marBottom w:val="312"/>
                      <w:divBdr>
                        <w:top w:val="none" w:sz="0" w:space="0" w:color="auto"/>
                        <w:left w:val="none" w:sz="0" w:space="0" w:color="auto"/>
                        <w:bottom w:val="none" w:sz="0" w:space="0" w:color="auto"/>
                        <w:right w:val="none" w:sz="0" w:space="0" w:color="auto"/>
                      </w:divBdr>
                      <w:divsChild>
                        <w:div w:id="634876169">
                          <w:marLeft w:val="0"/>
                          <w:marRight w:val="0"/>
                          <w:marTop w:val="0"/>
                          <w:marBottom w:val="0"/>
                          <w:divBdr>
                            <w:top w:val="single" w:sz="6" w:space="0" w:color="CCCCCC"/>
                            <w:left w:val="single" w:sz="6" w:space="0" w:color="CCCCCC"/>
                            <w:bottom w:val="single" w:sz="6" w:space="0" w:color="CCCCCC"/>
                            <w:right w:val="single" w:sz="6" w:space="0" w:color="CCCCCC"/>
                          </w:divBdr>
                          <w:divsChild>
                            <w:div w:id="5803358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33584630">
                      <w:marLeft w:val="0"/>
                      <w:marRight w:val="0"/>
                      <w:marTop w:val="0"/>
                      <w:marBottom w:val="0"/>
                      <w:divBdr>
                        <w:top w:val="single" w:sz="6" w:space="5" w:color="AAAAAA"/>
                        <w:left w:val="single" w:sz="6" w:space="5" w:color="AAAAAA"/>
                        <w:bottom w:val="single" w:sz="6" w:space="5" w:color="AAAAAA"/>
                        <w:right w:val="single" w:sz="6" w:space="5" w:color="AAAAAA"/>
                      </w:divBdr>
                    </w:div>
                    <w:div w:id="1525094044">
                      <w:marLeft w:val="336"/>
                      <w:marRight w:val="0"/>
                      <w:marTop w:val="120"/>
                      <w:marBottom w:val="312"/>
                      <w:divBdr>
                        <w:top w:val="none" w:sz="0" w:space="0" w:color="auto"/>
                        <w:left w:val="none" w:sz="0" w:space="0" w:color="auto"/>
                        <w:bottom w:val="none" w:sz="0" w:space="0" w:color="auto"/>
                        <w:right w:val="none" w:sz="0" w:space="0" w:color="auto"/>
                      </w:divBdr>
                      <w:divsChild>
                        <w:div w:id="1776561524">
                          <w:marLeft w:val="0"/>
                          <w:marRight w:val="0"/>
                          <w:marTop w:val="0"/>
                          <w:marBottom w:val="0"/>
                          <w:divBdr>
                            <w:top w:val="single" w:sz="6" w:space="0" w:color="CCCCCC"/>
                            <w:left w:val="single" w:sz="6" w:space="0" w:color="CCCCCC"/>
                            <w:bottom w:val="single" w:sz="6" w:space="0" w:color="CCCCCC"/>
                            <w:right w:val="single" w:sz="6" w:space="0" w:color="CCCCCC"/>
                          </w:divBdr>
                          <w:divsChild>
                            <w:div w:id="510266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16614429">
                      <w:marLeft w:val="0"/>
                      <w:marRight w:val="336"/>
                      <w:marTop w:val="120"/>
                      <w:marBottom w:val="312"/>
                      <w:divBdr>
                        <w:top w:val="none" w:sz="0" w:space="0" w:color="auto"/>
                        <w:left w:val="none" w:sz="0" w:space="0" w:color="auto"/>
                        <w:bottom w:val="none" w:sz="0" w:space="0" w:color="auto"/>
                        <w:right w:val="none" w:sz="0" w:space="0" w:color="auto"/>
                      </w:divBdr>
                      <w:divsChild>
                        <w:div w:id="1069186953">
                          <w:marLeft w:val="0"/>
                          <w:marRight w:val="0"/>
                          <w:marTop w:val="0"/>
                          <w:marBottom w:val="0"/>
                          <w:divBdr>
                            <w:top w:val="single" w:sz="6" w:space="0" w:color="CCCCCC"/>
                            <w:left w:val="single" w:sz="6" w:space="0" w:color="CCCCCC"/>
                            <w:bottom w:val="single" w:sz="6" w:space="0" w:color="CCCCCC"/>
                            <w:right w:val="single" w:sz="6" w:space="0" w:color="CCCCCC"/>
                          </w:divBdr>
                          <w:divsChild>
                            <w:div w:id="15140293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43777702">
                      <w:marLeft w:val="336"/>
                      <w:marRight w:val="0"/>
                      <w:marTop w:val="120"/>
                      <w:marBottom w:val="312"/>
                      <w:divBdr>
                        <w:top w:val="none" w:sz="0" w:space="0" w:color="auto"/>
                        <w:left w:val="none" w:sz="0" w:space="0" w:color="auto"/>
                        <w:bottom w:val="none" w:sz="0" w:space="0" w:color="auto"/>
                        <w:right w:val="none" w:sz="0" w:space="0" w:color="auto"/>
                      </w:divBdr>
                      <w:divsChild>
                        <w:div w:id="2137328820">
                          <w:marLeft w:val="0"/>
                          <w:marRight w:val="0"/>
                          <w:marTop w:val="0"/>
                          <w:marBottom w:val="0"/>
                          <w:divBdr>
                            <w:top w:val="single" w:sz="6" w:space="0" w:color="CCCCCC"/>
                            <w:left w:val="single" w:sz="6" w:space="0" w:color="CCCCCC"/>
                            <w:bottom w:val="single" w:sz="6" w:space="0" w:color="CCCCCC"/>
                            <w:right w:val="single" w:sz="6" w:space="0" w:color="CCCCCC"/>
                          </w:divBdr>
                          <w:divsChild>
                            <w:div w:id="35874973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74998970">
                      <w:marLeft w:val="0"/>
                      <w:marRight w:val="0"/>
                      <w:marTop w:val="72"/>
                      <w:marBottom w:val="120"/>
                      <w:divBdr>
                        <w:top w:val="none" w:sz="0" w:space="0" w:color="auto"/>
                        <w:left w:val="none" w:sz="0" w:space="0" w:color="auto"/>
                        <w:bottom w:val="none" w:sz="0" w:space="0" w:color="auto"/>
                        <w:right w:val="none" w:sz="0" w:space="0" w:color="auto"/>
                      </w:divBdr>
                    </w:div>
                    <w:div w:id="564024588">
                      <w:marLeft w:val="0"/>
                      <w:marRight w:val="-150"/>
                      <w:marTop w:val="0"/>
                      <w:marBottom w:val="0"/>
                      <w:divBdr>
                        <w:top w:val="none" w:sz="0" w:space="0" w:color="auto"/>
                        <w:left w:val="none" w:sz="0" w:space="0" w:color="auto"/>
                        <w:bottom w:val="none" w:sz="0" w:space="0" w:color="auto"/>
                        <w:right w:val="none" w:sz="0" w:space="0" w:color="auto"/>
                      </w:divBdr>
                    </w:div>
                  </w:divsChild>
                </w:div>
                <w:div w:id="887186884">
                  <w:marLeft w:val="0"/>
                  <w:marRight w:val="0"/>
                  <w:marTop w:val="240"/>
                  <w:marBottom w:val="0"/>
                  <w:divBdr>
                    <w:top w:val="single" w:sz="6" w:space="4" w:color="AAAAAA"/>
                    <w:left w:val="single" w:sz="6" w:space="4" w:color="AAAAAA"/>
                    <w:bottom w:val="single" w:sz="6" w:space="4" w:color="AAAAAA"/>
                    <w:right w:val="single" w:sz="6" w:space="4" w:color="AAAAAA"/>
                  </w:divBdr>
                  <w:divsChild>
                    <w:div w:id="13372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0949">
          <w:marLeft w:val="0"/>
          <w:marRight w:val="0"/>
          <w:marTop w:val="0"/>
          <w:marBottom w:val="0"/>
          <w:divBdr>
            <w:top w:val="none" w:sz="0" w:space="0" w:color="auto"/>
            <w:left w:val="none" w:sz="0" w:space="0" w:color="auto"/>
            <w:bottom w:val="none" w:sz="0" w:space="0" w:color="auto"/>
            <w:right w:val="none" w:sz="0" w:space="0" w:color="auto"/>
          </w:divBdr>
          <w:divsChild>
            <w:div w:id="1573197623">
              <w:marLeft w:val="0"/>
              <w:marRight w:val="0"/>
              <w:marTop w:val="0"/>
              <w:marBottom w:val="0"/>
              <w:divBdr>
                <w:top w:val="none" w:sz="0" w:space="0" w:color="auto"/>
                <w:left w:val="none" w:sz="0" w:space="0" w:color="auto"/>
                <w:bottom w:val="none" w:sz="0" w:space="0" w:color="auto"/>
                <w:right w:val="none" w:sz="0" w:space="0" w:color="auto"/>
              </w:divBdr>
              <w:divsChild>
                <w:div w:id="559901681">
                  <w:marLeft w:val="0"/>
                  <w:marRight w:val="0"/>
                  <w:marTop w:val="0"/>
                  <w:marBottom w:val="0"/>
                  <w:divBdr>
                    <w:top w:val="none" w:sz="0" w:space="0" w:color="auto"/>
                    <w:left w:val="none" w:sz="0" w:space="0" w:color="auto"/>
                    <w:bottom w:val="none" w:sz="0" w:space="0" w:color="auto"/>
                    <w:right w:val="none" w:sz="0" w:space="0" w:color="auto"/>
                  </w:divBdr>
                </w:div>
                <w:div w:id="1507938393">
                  <w:marLeft w:val="2640"/>
                  <w:marRight w:val="0"/>
                  <w:marTop w:val="600"/>
                  <w:marBottom w:val="0"/>
                  <w:divBdr>
                    <w:top w:val="none" w:sz="0" w:space="0" w:color="auto"/>
                    <w:left w:val="none" w:sz="0" w:space="0" w:color="auto"/>
                    <w:bottom w:val="none" w:sz="0" w:space="0" w:color="auto"/>
                    <w:right w:val="none" w:sz="0" w:space="0" w:color="auto"/>
                  </w:divBdr>
                  <w:divsChild>
                    <w:div w:id="220753700">
                      <w:marLeft w:val="0"/>
                      <w:marRight w:val="0"/>
                      <w:marTop w:val="0"/>
                      <w:marBottom w:val="0"/>
                      <w:divBdr>
                        <w:top w:val="none" w:sz="0" w:space="0" w:color="auto"/>
                        <w:left w:val="none" w:sz="0" w:space="0" w:color="auto"/>
                        <w:bottom w:val="none" w:sz="0" w:space="0" w:color="auto"/>
                        <w:right w:val="none" w:sz="0" w:space="0" w:color="auto"/>
                      </w:divBdr>
                    </w:div>
                  </w:divsChild>
                </w:div>
                <w:div w:id="1514225687">
                  <w:marLeft w:val="0"/>
                  <w:marRight w:val="0"/>
                  <w:marTop w:val="600"/>
                  <w:marBottom w:val="0"/>
                  <w:divBdr>
                    <w:top w:val="none" w:sz="0" w:space="0" w:color="auto"/>
                    <w:left w:val="none" w:sz="0" w:space="0" w:color="auto"/>
                    <w:bottom w:val="none" w:sz="0" w:space="0" w:color="auto"/>
                    <w:right w:val="none" w:sz="0" w:space="0" w:color="auto"/>
                  </w:divBdr>
                  <w:divsChild>
                    <w:div w:id="1864052136">
                      <w:marLeft w:val="0"/>
                      <w:marRight w:val="0"/>
                      <w:marTop w:val="0"/>
                      <w:marBottom w:val="0"/>
                      <w:divBdr>
                        <w:top w:val="none" w:sz="0" w:space="0" w:color="auto"/>
                        <w:left w:val="none" w:sz="0" w:space="0" w:color="auto"/>
                        <w:bottom w:val="none" w:sz="0" w:space="0" w:color="auto"/>
                        <w:right w:val="none" w:sz="0" w:space="0" w:color="auto"/>
                      </w:divBdr>
                    </w:div>
                    <w:div w:id="1159690457">
                      <w:marLeft w:val="120"/>
                      <w:marRight w:val="240"/>
                      <w:marTop w:val="0"/>
                      <w:marBottom w:val="0"/>
                      <w:divBdr>
                        <w:top w:val="none" w:sz="0" w:space="0" w:color="auto"/>
                        <w:left w:val="none" w:sz="0" w:space="0" w:color="auto"/>
                        <w:bottom w:val="none" w:sz="0" w:space="0" w:color="auto"/>
                        <w:right w:val="none" w:sz="0" w:space="0" w:color="auto"/>
                      </w:divBdr>
                      <w:divsChild>
                        <w:div w:id="309333338">
                          <w:marLeft w:val="0"/>
                          <w:marRight w:val="0"/>
                          <w:marTop w:val="156"/>
                          <w:marBottom w:val="0"/>
                          <w:divBdr>
                            <w:top w:val="single" w:sz="6" w:space="0" w:color="AAAAAA"/>
                            <w:left w:val="single" w:sz="6" w:space="0" w:color="AAAAAA"/>
                            <w:bottom w:val="single" w:sz="6" w:space="0" w:color="AAAAAA"/>
                            <w:right w:val="single" w:sz="6" w:space="0" w:color="AAAAAA"/>
                          </w:divBdr>
                        </w:div>
                      </w:divsChild>
                    </w:div>
                  </w:divsChild>
                </w:div>
              </w:divsChild>
            </w:div>
            <w:div w:id="1900551368">
              <w:marLeft w:val="0"/>
              <w:marRight w:val="0"/>
              <w:marTop w:val="0"/>
              <w:marBottom w:val="0"/>
              <w:divBdr>
                <w:top w:val="none" w:sz="0" w:space="0" w:color="auto"/>
                <w:left w:val="none" w:sz="0" w:space="0" w:color="auto"/>
                <w:bottom w:val="none" w:sz="0" w:space="0" w:color="auto"/>
                <w:right w:val="none" w:sz="0" w:space="0" w:color="auto"/>
              </w:divBdr>
              <w:divsChild>
                <w:div w:id="1797064244">
                  <w:marLeft w:val="165"/>
                  <w:marRight w:val="135"/>
                  <w:marTop w:val="0"/>
                  <w:marBottom w:val="150"/>
                  <w:divBdr>
                    <w:top w:val="none" w:sz="0" w:space="0" w:color="auto"/>
                    <w:left w:val="none" w:sz="0" w:space="0" w:color="auto"/>
                    <w:bottom w:val="none" w:sz="0" w:space="0" w:color="auto"/>
                    <w:right w:val="none" w:sz="0" w:space="0" w:color="auto"/>
                  </w:divBdr>
                  <w:divsChild>
                    <w:div w:id="2042975971">
                      <w:marLeft w:val="120"/>
                      <w:marRight w:val="0"/>
                      <w:marTop w:val="0"/>
                      <w:marBottom w:val="0"/>
                      <w:divBdr>
                        <w:top w:val="none" w:sz="0" w:space="0" w:color="auto"/>
                        <w:left w:val="none" w:sz="0" w:space="0" w:color="auto"/>
                        <w:bottom w:val="none" w:sz="0" w:space="0" w:color="auto"/>
                        <w:right w:val="none" w:sz="0" w:space="0" w:color="auto"/>
                      </w:divBdr>
                    </w:div>
                  </w:divsChild>
                </w:div>
                <w:div w:id="2113477106">
                  <w:marLeft w:val="165"/>
                  <w:marRight w:val="135"/>
                  <w:marTop w:val="0"/>
                  <w:marBottom w:val="150"/>
                  <w:divBdr>
                    <w:top w:val="none" w:sz="0" w:space="0" w:color="auto"/>
                    <w:left w:val="none" w:sz="0" w:space="0" w:color="auto"/>
                    <w:bottom w:val="none" w:sz="0" w:space="0" w:color="auto"/>
                    <w:right w:val="none" w:sz="0" w:space="0" w:color="auto"/>
                  </w:divBdr>
                  <w:divsChild>
                    <w:div w:id="1359433119">
                      <w:marLeft w:val="300"/>
                      <w:marRight w:val="0"/>
                      <w:marTop w:val="0"/>
                      <w:marBottom w:val="0"/>
                      <w:divBdr>
                        <w:top w:val="none" w:sz="0" w:space="0" w:color="auto"/>
                        <w:left w:val="none" w:sz="0" w:space="0" w:color="auto"/>
                        <w:bottom w:val="none" w:sz="0" w:space="0" w:color="auto"/>
                        <w:right w:val="none" w:sz="0" w:space="0" w:color="auto"/>
                      </w:divBdr>
                    </w:div>
                  </w:divsChild>
                </w:div>
                <w:div w:id="1651053105">
                  <w:marLeft w:val="165"/>
                  <w:marRight w:val="135"/>
                  <w:marTop w:val="0"/>
                  <w:marBottom w:val="150"/>
                  <w:divBdr>
                    <w:top w:val="none" w:sz="0" w:space="0" w:color="auto"/>
                    <w:left w:val="none" w:sz="0" w:space="0" w:color="auto"/>
                    <w:bottom w:val="none" w:sz="0" w:space="0" w:color="auto"/>
                    <w:right w:val="none" w:sz="0" w:space="0" w:color="auto"/>
                  </w:divBdr>
                </w:div>
                <w:div w:id="2095465751">
                  <w:marLeft w:val="165"/>
                  <w:marRight w:val="135"/>
                  <w:marTop w:val="0"/>
                  <w:marBottom w:val="150"/>
                  <w:divBdr>
                    <w:top w:val="none" w:sz="0" w:space="0" w:color="auto"/>
                    <w:left w:val="none" w:sz="0" w:space="0" w:color="auto"/>
                    <w:bottom w:val="none" w:sz="0" w:space="0" w:color="auto"/>
                    <w:right w:val="none" w:sz="0" w:space="0" w:color="auto"/>
                  </w:divBdr>
                </w:div>
                <w:div w:id="1943492537">
                  <w:marLeft w:val="165"/>
                  <w:marRight w:val="135"/>
                  <w:marTop w:val="0"/>
                  <w:marBottom w:val="150"/>
                  <w:divBdr>
                    <w:top w:val="none" w:sz="0" w:space="0" w:color="auto"/>
                    <w:left w:val="none" w:sz="0" w:space="0" w:color="auto"/>
                    <w:bottom w:val="none" w:sz="0" w:space="0" w:color="auto"/>
                    <w:right w:val="none" w:sz="0" w:space="0" w:color="auto"/>
                  </w:divBdr>
                  <w:divsChild>
                    <w:div w:id="1882549318">
                      <w:marLeft w:val="300"/>
                      <w:marRight w:val="0"/>
                      <w:marTop w:val="0"/>
                      <w:marBottom w:val="0"/>
                      <w:divBdr>
                        <w:top w:val="none" w:sz="0" w:space="0" w:color="auto"/>
                        <w:left w:val="none" w:sz="0" w:space="0" w:color="auto"/>
                        <w:bottom w:val="none" w:sz="0" w:space="0" w:color="auto"/>
                        <w:right w:val="none" w:sz="0" w:space="0" w:color="auto"/>
                      </w:divBdr>
                      <w:divsChild>
                        <w:div w:id="21210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91280">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Dennis</cp:lastModifiedBy>
  <cp:revision>2</cp:revision>
  <dcterms:created xsi:type="dcterms:W3CDTF">2015-04-26T18:16:00Z</dcterms:created>
  <dcterms:modified xsi:type="dcterms:W3CDTF">2015-04-26T18:16:00Z</dcterms:modified>
</cp:coreProperties>
</file>